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33" w:rsidRDefault="00224C33" w:rsidP="00224C33">
      <w:bookmarkStart w:id="0" w:name="_GoBack"/>
      <w:bookmarkEnd w:id="0"/>
      <w:r>
        <w:rPr>
          <w:noProof/>
          <w:lang w:val="es-AR" w:eastAsia="es-AR"/>
        </w:rPr>
        <w:drawing>
          <wp:anchor distT="0" distB="0" distL="114300" distR="114300" simplePos="0" relativeHeight="251658240" behindDoc="1" locked="0" layoutInCell="1" allowOverlap="1">
            <wp:simplePos x="0" y="0"/>
            <wp:positionH relativeFrom="column">
              <wp:posOffset>387985</wp:posOffset>
            </wp:positionH>
            <wp:positionV relativeFrom="paragraph">
              <wp:posOffset>-149860</wp:posOffset>
            </wp:positionV>
            <wp:extent cx="4626610" cy="1819910"/>
            <wp:effectExtent l="19050" t="0" r="2540" b="0"/>
            <wp:wrapTight wrapText="bothSides">
              <wp:wrapPolygon edited="0">
                <wp:start x="-89" y="0"/>
                <wp:lineTo x="-89" y="21479"/>
                <wp:lineTo x="21612" y="21479"/>
                <wp:lineTo x="21612" y="0"/>
                <wp:lineTo x="-89" y="0"/>
              </wp:wrapPolygon>
            </wp:wrapTight>
            <wp:docPr id="3" name="Imagen 1"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pic:cNvPicPr>
                      <a:picLocks noChangeAspect="1" noChangeArrowheads="1"/>
                    </pic:cNvPicPr>
                  </pic:nvPicPr>
                  <pic:blipFill>
                    <a:blip r:embed="rId8" cstate="print"/>
                    <a:srcRect/>
                    <a:stretch>
                      <a:fillRect/>
                    </a:stretch>
                  </pic:blipFill>
                  <pic:spPr bwMode="auto">
                    <a:xfrm>
                      <a:off x="0" y="0"/>
                      <a:ext cx="4626610" cy="1819910"/>
                    </a:xfrm>
                    <a:prstGeom prst="rect">
                      <a:avLst/>
                    </a:prstGeom>
                    <a:noFill/>
                    <a:ln w="9525">
                      <a:noFill/>
                      <a:miter lim="800000"/>
                      <a:headEnd/>
                      <a:tailEnd/>
                    </a:ln>
                  </pic:spPr>
                </pic:pic>
              </a:graphicData>
            </a:graphic>
          </wp:anchor>
        </w:drawing>
      </w:r>
      <w:r w:rsidR="000C089B">
        <w:tab/>
      </w:r>
    </w:p>
    <w:p w:rsidR="00224C33" w:rsidRDefault="00224C33" w:rsidP="00224C33"/>
    <w:p w:rsidR="00224C33" w:rsidRDefault="00224C33" w:rsidP="00224C33"/>
    <w:p w:rsidR="00224C33" w:rsidRDefault="00224C33" w:rsidP="00224C33"/>
    <w:p w:rsidR="00224C33" w:rsidRDefault="00224C33" w:rsidP="00224C33"/>
    <w:p w:rsidR="00224C33" w:rsidRDefault="00224C33" w:rsidP="00224C33">
      <w:pPr>
        <w:rPr>
          <w:rFonts w:ascii="Times New Roman" w:hAnsi="Times New Roman" w:cs="Times New Roman"/>
          <w:b/>
          <w:sz w:val="50"/>
          <w:szCs w:val="50"/>
        </w:rPr>
      </w:pPr>
    </w:p>
    <w:p w:rsidR="00224C33" w:rsidRDefault="00224C33" w:rsidP="00224C33">
      <w:pPr>
        <w:rPr>
          <w:rFonts w:ascii="Times New Roman" w:hAnsi="Times New Roman" w:cs="Times New Roman"/>
          <w:b/>
          <w:sz w:val="50"/>
          <w:szCs w:val="50"/>
        </w:rPr>
      </w:pPr>
    </w:p>
    <w:p w:rsidR="00224C33" w:rsidRDefault="00224C33" w:rsidP="00224C33">
      <w:pPr>
        <w:rPr>
          <w:rFonts w:ascii="Times New Roman" w:hAnsi="Times New Roman" w:cs="Times New Roman"/>
          <w:b/>
          <w:sz w:val="50"/>
          <w:szCs w:val="50"/>
        </w:rPr>
      </w:pPr>
    </w:p>
    <w:p w:rsidR="00224C33" w:rsidRDefault="00224C33" w:rsidP="00224C33">
      <w:pPr>
        <w:pStyle w:val="Cuerpo"/>
        <w:jc w:val="center"/>
        <w:rPr>
          <w:rFonts w:ascii="Times New Roman" w:hAnsi="Times New Roman" w:cs="Times New Roman"/>
          <w:bCs/>
          <w:i/>
          <w:color w:val="auto"/>
          <w:sz w:val="28"/>
          <w:szCs w:val="28"/>
        </w:rPr>
      </w:pPr>
    </w:p>
    <w:p w:rsidR="00224C33" w:rsidRDefault="00224C33" w:rsidP="00224C33">
      <w:pPr>
        <w:pStyle w:val="Cuerpo"/>
        <w:jc w:val="center"/>
        <w:rPr>
          <w:rFonts w:ascii="Times New Roman" w:hAnsi="Times New Roman" w:cs="Times New Roman"/>
          <w:bCs/>
          <w:i/>
          <w:color w:val="auto"/>
          <w:sz w:val="28"/>
          <w:szCs w:val="28"/>
        </w:rPr>
      </w:pPr>
    </w:p>
    <w:p w:rsidR="00224C33" w:rsidRDefault="003141F8" w:rsidP="00224C33">
      <w:pPr>
        <w:pStyle w:val="Textoindependiente"/>
        <w:jc w:val="center"/>
        <w:rPr>
          <w:b/>
          <w:sz w:val="40"/>
        </w:rPr>
      </w:pPr>
      <w:r>
        <w:rPr>
          <w:b/>
          <w:sz w:val="40"/>
        </w:rPr>
        <w:t xml:space="preserve">Primeras reflexiones sobre la movilidad jubilatoria de marzo </w:t>
      </w:r>
    </w:p>
    <w:p w:rsidR="003141F8" w:rsidRDefault="003141F8" w:rsidP="00224C33">
      <w:pPr>
        <w:pStyle w:val="Textoindependiente"/>
        <w:jc w:val="center"/>
        <w:rPr>
          <w:i/>
          <w:sz w:val="30"/>
          <w:szCs w:val="30"/>
        </w:rPr>
      </w:pPr>
    </w:p>
    <w:p w:rsidR="003141F8" w:rsidRPr="003141F8" w:rsidRDefault="003141F8" w:rsidP="00224C33">
      <w:pPr>
        <w:pStyle w:val="Textoindependiente"/>
        <w:jc w:val="center"/>
        <w:rPr>
          <w:i/>
          <w:sz w:val="30"/>
          <w:szCs w:val="30"/>
        </w:rPr>
      </w:pPr>
      <w:r>
        <w:rPr>
          <w:i/>
          <w:sz w:val="30"/>
          <w:szCs w:val="30"/>
        </w:rPr>
        <w:t>Señales de una recuperación lenta</w:t>
      </w:r>
    </w:p>
    <w:p w:rsidR="003141F8" w:rsidRDefault="003141F8" w:rsidP="00224C33">
      <w:pPr>
        <w:pStyle w:val="Textoindependiente"/>
        <w:jc w:val="center"/>
        <w:rPr>
          <w:b/>
          <w:sz w:val="40"/>
        </w:rPr>
      </w:pPr>
    </w:p>
    <w:p w:rsidR="0065197E" w:rsidRDefault="0065197E" w:rsidP="00224C33">
      <w:pPr>
        <w:pStyle w:val="Textoindependiente"/>
        <w:jc w:val="center"/>
        <w:rPr>
          <w:b/>
          <w:sz w:val="40"/>
        </w:rPr>
      </w:pPr>
    </w:p>
    <w:p w:rsidR="00224C33" w:rsidRPr="0065197E" w:rsidRDefault="00224C33" w:rsidP="00224C33">
      <w:pPr>
        <w:pStyle w:val="Ttulo11"/>
        <w:rPr>
          <w:sz w:val="26"/>
          <w:szCs w:val="26"/>
        </w:rPr>
      </w:pPr>
      <w:r w:rsidRPr="0065197E">
        <w:rPr>
          <w:b w:val="0"/>
          <w:sz w:val="26"/>
          <w:szCs w:val="26"/>
        </w:rPr>
        <w:t>A cargo de:</w:t>
      </w:r>
      <w:r w:rsidRPr="0065197E">
        <w:rPr>
          <w:sz w:val="26"/>
          <w:szCs w:val="26"/>
        </w:rPr>
        <w:t xml:space="preserve"> Ana Rameri</w:t>
      </w:r>
    </w:p>
    <w:p w:rsidR="00224C33" w:rsidRDefault="00224C33" w:rsidP="00224C33">
      <w:pPr>
        <w:pStyle w:val="Textoindependiente"/>
        <w:rPr>
          <w:b/>
          <w:bCs/>
          <w:sz w:val="28"/>
          <w:szCs w:val="28"/>
        </w:rPr>
      </w:pPr>
    </w:p>
    <w:p w:rsidR="00224C33" w:rsidRDefault="00224C33" w:rsidP="00224C33">
      <w:pPr>
        <w:pStyle w:val="Textoindependiente"/>
        <w:jc w:val="right"/>
        <w:rPr>
          <w:b/>
          <w:bCs/>
          <w:sz w:val="28"/>
          <w:szCs w:val="28"/>
        </w:rPr>
      </w:pPr>
    </w:p>
    <w:p w:rsidR="00224C33" w:rsidRDefault="00224C33" w:rsidP="00224C33">
      <w:pPr>
        <w:pStyle w:val="Textoindependiente"/>
        <w:spacing w:after="0"/>
        <w:jc w:val="right"/>
        <w:rPr>
          <w:b/>
          <w:bCs/>
          <w:sz w:val="24"/>
          <w:szCs w:val="24"/>
        </w:rPr>
      </w:pPr>
    </w:p>
    <w:p w:rsidR="00224C33" w:rsidRPr="001A4D16" w:rsidRDefault="00224C33" w:rsidP="00224C33">
      <w:pPr>
        <w:pStyle w:val="Textoindependiente"/>
        <w:spacing w:after="0"/>
        <w:jc w:val="right"/>
        <w:rPr>
          <w:b/>
          <w:bCs/>
          <w:sz w:val="24"/>
          <w:szCs w:val="24"/>
          <w:u w:val="single"/>
        </w:rPr>
      </w:pPr>
      <w:r w:rsidRPr="001A4D16">
        <w:rPr>
          <w:b/>
          <w:bCs/>
          <w:sz w:val="24"/>
          <w:szCs w:val="24"/>
          <w:u w:val="single"/>
        </w:rPr>
        <w:t xml:space="preserve">Equipo de </w:t>
      </w:r>
      <w:r w:rsidR="00EC1D95">
        <w:rPr>
          <w:b/>
          <w:bCs/>
          <w:sz w:val="24"/>
          <w:szCs w:val="24"/>
          <w:u w:val="single"/>
        </w:rPr>
        <w:t>trabajo</w:t>
      </w:r>
    </w:p>
    <w:p w:rsidR="00C2495D" w:rsidRDefault="00C2495D" w:rsidP="00224C33">
      <w:pPr>
        <w:pStyle w:val="Textoindependiente"/>
        <w:spacing w:after="0"/>
        <w:jc w:val="right"/>
        <w:rPr>
          <w:bCs/>
          <w:sz w:val="24"/>
          <w:szCs w:val="24"/>
        </w:rPr>
      </w:pPr>
      <w:r>
        <w:rPr>
          <w:bCs/>
          <w:sz w:val="24"/>
          <w:szCs w:val="24"/>
        </w:rPr>
        <w:t>Agustina Haimovich</w:t>
      </w:r>
    </w:p>
    <w:p w:rsidR="00224C33" w:rsidRDefault="00224C33" w:rsidP="00224C33">
      <w:pPr>
        <w:pStyle w:val="Textoindependiente"/>
        <w:spacing w:after="0"/>
        <w:jc w:val="right"/>
        <w:rPr>
          <w:bCs/>
          <w:sz w:val="24"/>
          <w:szCs w:val="24"/>
        </w:rPr>
      </w:pPr>
      <w:r>
        <w:rPr>
          <w:bCs/>
          <w:sz w:val="24"/>
          <w:szCs w:val="24"/>
        </w:rPr>
        <w:t>Samantha Horwitz</w:t>
      </w:r>
    </w:p>
    <w:p w:rsidR="00224C33" w:rsidRDefault="00224C33" w:rsidP="00224C33">
      <w:pPr>
        <w:pStyle w:val="Textoindependiente"/>
        <w:spacing w:after="0"/>
        <w:jc w:val="right"/>
        <w:rPr>
          <w:bCs/>
          <w:sz w:val="24"/>
          <w:szCs w:val="24"/>
        </w:rPr>
      </w:pPr>
      <w:r>
        <w:rPr>
          <w:bCs/>
          <w:sz w:val="24"/>
          <w:szCs w:val="24"/>
        </w:rPr>
        <w:t>Ignacio López Mieres</w:t>
      </w:r>
    </w:p>
    <w:p w:rsidR="00224C33" w:rsidRPr="00003926" w:rsidRDefault="00224C33" w:rsidP="00224C33">
      <w:pPr>
        <w:pStyle w:val="Textoindependiente"/>
        <w:spacing w:after="0"/>
        <w:jc w:val="right"/>
        <w:rPr>
          <w:bCs/>
          <w:sz w:val="24"/>
          <w:szCs w:val="24"/>
        </w:rPr>
      </w:pPr>
      <w:r>
        <w:rPr>
          <w:bCs/>
          <w:sz w:val="24"/>
          <w:szCs w:val="24"/>
        </w:rPr>
        <w:t>Javier Rameri</w:t>
      </w:r>
    </w:p>
    <w:p w:rsidR="00224C33" w:rsidRPr="00003926" w:rsidRDefault="00224C33" w:rsidP="00224C33">
      <w:pPr>
        <w:pStyle w:val="Textoindependiente"/>
        <w:spacing w:after="0"/>
        <w:jc w:val="right"/>
        <w:rPr>
          <w:bCs/>
          <w:sz w:val="24"/>
          <w:szCs w:val="24"/>
        </w:rPr>
      </w:pPr>
    </w:p>
    <w:p w:rsidR="00224C33" w:rsidRPr="001A4D16" w:rsidRDefault="00224C33" w:rsidP="00224C33">
      <w:pPr>
        <w:pStyle w:val="Textoindependiente"/>
        <w:spacing w:after="0"/>
        <w:jc w:val="right"/>
        <w:rPr>
          <w:b/>
          <w:bCs/>
          <w:sz w:val="24"/>
          <w:szCs w:val="24"/>
          <w:u w:val="single"/>
        </w:rPr>
      </w:pPr>
      <w:r w:rsidRPr="001A4D16">
        <w:rPr>
          <w:b/>
          <w:bCs/>
          <w:sz w:val="24"/>
          <w:szCs w:val="24"/>
          <w:u w:val="single"/>
        </w:rPr>
        <w:t>Coordinación</w:t>
      </w:r>
    </w:p>
    <w:p w:rsidR="00224C33" w:rsidRPr="00003926" w:rsidRDefault="00224C33" w:rsidP="00224C33">
      <w:pPr>
        <w:pStyle w:val="Textoindependiente"/>
        <w:spacing w:after="0"/>
        <w:jc w:val="right"/>
        <w:rPr>
          <w:bCs/>
          <w:sz w:val="24"/>
          <w:szCs w:val="24"/>
        </w:rPr>
      </w:pPr>
      <w:r w:rsidRPr="00003926">
        <w:rPr>
          <w:bCs/>
          <w:sz w:val="24"/>
          <w:szCs w:val="24"/>
        </w:rPr>
        <w:t>Ana Rameri</w:t>
      </w:r>
    </w:p>
    <w:p w:rsidR="00224C33" w:rsidRPr="00003926" w:rsidRDefault="00224C33" w:rsidP="00224C33">
      <w:pPr>
        <w:pStyle w:val="Textoindependiente"/>
        <w:spacing w:after="0"/>
        <w:rPr>
          <w:b/>
          <w:sz w:val="24"/>
          <w:szCs w:val="24"/>
        </w:rPr>
      </w:pPr>
    </w:p>
    <w:p w:rsidR="00224C33" w:rsidRPr="00DF5630" w:rsidRDefault="00224C33" w:rsidP="00224C33">
      <w:pPr>
        <w:pStyle w:val="Textoindependiente"/>
        <w:spacing w:after="0"/>
        <w:jc w:val="right"/>
        <w:rPr>
          <w:bCs/>
          <w:sz w:val="26"/>
          <w:szCs w:val="26"/>
        </w:rPr>
      </w:pPr>
    </w:p>
    <w:p w:rsidR="00224C33" w:rsidRDefault="00224C33" w:rsidP="00224C33">
      <w:pPr>
        <w:pStyle w:val="Ttulo11"/>
      </w:pPr>
    </w:p>
    <w:p w:rsidR="00224C33" w:rsidRDefault="00224C33" w:rsidP="00224C33">
      <w:pPr>
        <w:pStyle w:val="Ttulo11"/>
        <w:jc w:val="right"/>
        <w:rPr>
          <w:b w:val="0"/>
          <w:sz w:val="24"/>
          <w:szCs w:val="24"/>
        </w:rPr>
      </w:pPr>
    </w:p>
    <w:p w:rsidR="00224C33" w:rsidRPr="00DF667C" w:rsidRDefault="00224C33" w:rsidP="00224C33">
      <w:pPr>
        <w:pStyle w:val="Ttulo11"/>
        <w:rPr>
          <w:b w:val="0"/>
          <w:sz w:val="24"/>
          <w:szCs w:val="24"/>
        </w:rPr>
      </w:pPr>
      <w:r>
        <w:rPr>
          <w:b w:val="0"/>
          <w:sz w:val="24"/>
          <w:szCs w:val="24"/>
        </w:rPr>
        <w:t>Febrero 2020</w:t>
      </w:r>
    </w:p>
    <w:p w:rsidR="00C350CC" w:rsidRDefault="00C350CC">
      <w:r>
        <w:br w:type="page"/>
      </w:r>
    </w:p>
    <w:p w:rsidR="000C089B" w:rsidRDefault="00E702F4" w:rsidP="003C7135">
      <w:pPr>
        <w:ind w:firstLine="708"/>
      </w:pPr>
      <w:r>
        <w:lastRenderedPageBreak/>
        <w:t>La</w:t>
      </w:r>
      <w:r w:rsidR="00B36A84">
        <w:t xml:space="preserve"> ley de </w:t>
      </w:r>
      <w:r w:rsidR="000664E5">
        <w:t>solidaridad s</w:t>
      </w:r>
      <w:r>
        <w:t>ocial y reactivación productiva sancionada</w:t>
      </w:r>
      <w:r w:rsidR="000664E5">
        <w:t xml:space="preserve"> </w:t>
      </w:r>
      <w:r>
        <w:t>el pasado</w:t>
      </w:r>
      <w:r w:rsidR="005F19B6">
        <w:t xml:space="preserve"> diciembre </w:t>
      </w:r>
      <w:r>
        <w:t>suspendió</w:t>
      </w:r>
      <w:r w:rsidR="005F19B6">
        <w:t xml:space="preserve"> </w:t>
      </w:r>
      <w:r w:rsidR="00B36A84">
        <w:t>por 180 días la fórmula de movilidad</w:t>
      </w:r>
      <w:r w:rsidR="000664E5">
        <w:t xml:space="preserve"> </w:t>
      </w:r>
      <w:r w:rsidR="00C603F5">
        <w:t>bajo el argumento</w:t>
      </w:r>
      <w:r w:rsidR="000664E5">
        <w:t xml:space="preserve"> de atender prioritariamente a los sectores de más bajos ingresos. Según la información disponible</w:t>
      </w:r>
      <w:r w:rsidR="00D40F27">
        <w:t xml:space="preserve"> de precios y salarios</w:t>
      </w:r>
      <w:r w:rsidR="000664E5">
        <w:t xml:space="preserve">, </w:t>
      </w:r>
      <w:r>
        <w:t xml:space="preserve">con la fórmula derogada </w:t>
      </w:r>
      <w:r w:rsidR="000664E5">
        <w:t xml:space="preserve">las actualizaciones para la primera parte del </w:t>
      </w:r>
      <w:r w:rsidR="00D40F27">
        <w:t xml:space="preserve">corriente año </w:t>
      </w:r>
      <w:r>
        <w:t>hubiesen alcanzado</w:t>
      </w:r>
      <w:r w:rsidR="00D40F27">
        <w:t xml:space="preserve"> un </w:t>
      </w:r>
      <w:r w:rsidR="002728BE">
        <w:t>23,7</w:t>
      </w:r>
      <w:r w:rsidR="00D40F27">
        <w:t>%</w:t>
      </w:r>
      <w:r>
        <w:t xml:space="preserve">: </w:t>
      </w:r>
      <w:r w:rsidR="00B36A84" w:rsidRPr="00E702F4">
        <w:t>11,5</w:t>
      </w:r>
      <w:r w:rsidR="00D40F27" w:rsidRPr="00E702F4">
        <w:t>6</w:t>
      </w:r>
      <w:r w:rsidR="00B36A84" w:rsidRPr="00E702F4">
        <w:t>%</w:t>
      </w:r>
      <w:r>
        <w:t xml:space="preserve"> en marzo </w:t>
      </w:r>
      <w:r w:rsidRPr="002728BE">
        <w:t>y</w:t>
      </w:r>
      <w:r w:rsidR="00B36A84" w:rsidRPr="002728BE">
        <w:t xml:space="preserve"> </w:t>
      </w:r>
      <w:r w:rsidR="002728BE" w:rsidRPr="002728BE">
        <w:t>10,9%</w:t>
      </w:r>
      <w:r w:rsidRPr="002728BE">
        <w:t xml:space="preserve"> en</w:t>
      </w:r>
      <w:r>
        <w:t xml:space="preserve"> junio,</w:t>
      </w:r>
      <w:r w:rsidR="00525C57">
        <w:t xml:space="preserve"> </w:t>
      </w:r>
      <w:r w:rsidR="00C458BE">
        <w:t>logrando superar</w:t>
      </w:r>
      <w:r>
        <w:t xml:space="preserve"> la inflación proyectada para este período, puesto que </w:t>
      </w:r>
      <w:r w:rsidR="000664E5">
        <w:t xml:space="preserve">se </w:t>
      </w:r>
      <w:r>
        <w:t>comenzarían</w:t>
      </w:r>
      <w:r w:rsidR="000664E5">
        <w:t xml:space="preserve"> a reconocer los elevados valores de inflación experimentados </w:t>
      </w:r>
      <w:r>
        <w:t>en el segundo semestre d</w:t>
      </w:r>
      <w:r w:rsidR="000664E5">
        <w:t xml:space="preserve">el </w:t>
      </w:r>
      <w:r>
        <w:t>2019</w:t>
      </w:r>
      <w:r w:rsidR="000664E5">
        <w:t>.</w:t>
      </w:r>
      <w:r w:rsidR="00D40F27">
        <w:t xml:space="preserve"> </w:t>
      </w:r>
    </w:p>
    <w:p w:rsidR="002728BE" w:rsidRDefault="002728BE"/>
    <w:p w:rsidR="000C089B" w:rsidRDefault="000C089B">
      <w:r>
        <w:tab/>
        <w:t>El anuncio realizado por</w:t>
      </w:r>
      <w:r w:rsidR="00C458BE">
        <w:t xml:space="preserve"> Alberto Fernández junto al titular de ANSES, Alejandro Vanoli,</w:t>
      </w:r>
      <w:r>
        <w:t xml:space="preserve"> y la titular del PAMI</w:t>
      </w:r>
      <w:r w:rsidR="00C458BE">
        <w:t>, Luana Volnovich,</w:t>
      </w:r>
      <w:r>
        <w:t xml:space="preserve"> consiste en reemplazar los </w:t>
      </w:r>
      <w:r w:rsidR="00336576">
        <w:t xml:space="preserve">resultados de marzo por un aumento mixto que contempla un incremento del 2,3% para el conjunto de haberes junto con una suma fija de $1.500. </w:t>
      </w:r>
      <w:r w:rsidR="00BD255C">
        <w:t>Lógicamente</w:t>
      </w:r>
      <w:r w:rsidR="00C458BE">
        <w:t>,</w:t>
      </w:r>
      <w:r w:rsidR="00BD255C">
        <w:t xml:space="preserve"> el componente fijo es el que aporta la progresividad en la distribución del mayor gasto público en materia previsional, al permitir una recomposición más rápida para los </w:t>
      </w:r>
      <w:r w:rsidR="00FD15DC">
        <w:t xml:space="preserve">haberes más bajos mientras el porcentaje busca generar algún contrapeso al efecto de achatamiento en la pirámide previsional (recién cuando se superan los $65.000 del valor del haber, el componente porcentual del aumento equivale a una suma en pesos de $1.500).  </w:t>
      </w:r>
    </w:p>
    <w:p w:rsidR="00005D53" w:rsidRDefault="00005D53"/>
    <w:p w:rsidR="00005D53" w:rsidRDefault="00005D53" w:rsidP="00C458BE">
      <w:r>
        <w:t xml:space="preserve">Algunas reflexiones breves </w:t>
      </w:r>
      <w:r w:rsidR="00A20411">
        <w:t>acerca de las ventajas y los riesgos de la medida anunciada:</w:t>
      </w:r>
    </w:p>
    <w:p w:rsidR="00005D53" w:rsidRDefault="00005D53"/>
    <w:p w:rsidR="00DC507A" w:rsidRDefault="00755479" w:rsidP="00DC507A">
      <w:pPr>
        <w:pStyle w:val="Prrafodelista"/>
        <w:numPr>
          <w:ilvl w:val="0"/>
          <w:numId w:val="1"/>
        </w:numPr>
      </w:pPr>
      <w:r w:rsidRPr="00DC507A">
        <w:rPr>
          <w:i/>
          <w:u w:val="single"/>
        </w:rPr>
        <w:t>Favorece a los haberes</w:t>
      </w:r>
      <w:r w:rsidR="00EF2098">
        <w:rPr>
          <w:i/>
          <w:u w:val="single"/>
        </w:rPr>
        <w:t xml:space="preserve"> previsionales</w:t>
      </w:r>
      <w:r w:rsidRPr="00DC507A">
        <w:rPr>
          <w:i/>
          <w:u w:val="single"/>
        </w:rPr>
        <w:t xml:space="preserve"> más bajos</w:t>
      </w:r>
      <w:r>
        <w:t xml:space="preserve">: </w:t>
      </w:r>
      <w:r w:rsidR="004C3594">
        <w:t xml:space="preserve">La modalidad </w:t>
      </w:r>
      <w:r w:rsidR="00005D53">
        <w:t xml:space="preserve"> tiene la ventaja de beneficiar relativamente más </w:t>
      </w:r>
      <w:r w:rsidR="006E30B7">
        <w:t>al conjunto de jubilados y pensionados</w:t>
      </w:r>
      <w:r w:rsidR="00005D53">
        <w:t xml:space="preserve"> que reciben el ingreso más bajo del sistema previsional. El haber mínimo </w:t>
      </w:r>
      <w:r w:rsidR="006E30B7">
        <w:t>efectivamente</w:t>
      </w:r>
      <w:r w:rsidR="00005D53">
        <w:t xml:space="preserve"> recibirá un incremento del 13%, es decir 1,5 p.p. más que el que disponía la fórmula anterior.</w:t>
      </w:r>
      <w:r w:rsidR="00DC507A">
        <w:t xml:space="preserve"> El esquema planteado reserva la recomposición más importante para quienes se encuentran en la base de la pirámide y dispone de una reducción gradual del porcentaje de actualización para los haberes más altos. </w:t>
      </w:r>
      <w:r w:rsidR="00844BAF">
        <w:t xml:space="preserve">Se verifica que entre la mínima y los $20 mil, el aumento será en promedio de 11%, entre los $20 mil y $40 mil del 7,2%, entre $40 mil y $67 mil del 5,1%, hasta llegar al haber máximo de 103 mil con un 3,8% de actualización. En promedio, las jubilaciones y pensiones se verán incrementadas en un 11,1% como resultado de un aumento de 13% de los haberes mínimos y del 6,5% del resto. </w:t>
      </w:r>
    </w:p>
    <w:p w:rsidR="00DC507A" w:rsidRDefault="00DC507A" w:rsidP="00DC507A">
      <w:pPr>
        <w:pStyle w:val="Prrafodelista"/>
        <w:ind w:left="417" w:firstLine="0"/>
      </w:pPr>
    </w:p>
    <w:p w:rsidR="00114E9A" w:rsidRDefault="006E30B7" w:rsidP="00DC507A">
      <w:pPr>
        <w:pStyle w:val="Prrafodelista"/>
        <w:ind w:left="417" w:firstLine="0"/>
      </w:pPr>
      <w:r>
        <w:t xml:space="preserve"> </w:t>
      </w:r>
      <w:r w:rsidR="009C7BFF">
        <w:t>De esta manera,</w:t>
      </w:r>
      <w:r>
        <w:t xml:space="preserve"> </w:t>
      </w:r>
      <w:r w:rsidR="009C7BFF">
        <w:t>el piso del sistema previsional pasa de</w:t>
      </w:r>
      <w:r>
        <w:t xml:space="preserve"> </w:t>
      </w:r>
      <w:r w:rsidR="007919F4">
        <w:t xml:space="preserve">los </w:t>
      </w:r>
      <w:r>
        <w:t xml:space="preserve">14 mil </w:t>
      </w:r>
      <w:r w:rsidR="009C7BFF">
        <w:t xml:space="preserve">pesos en febrero </w:t>
      </w:r>
      <w:r>
        <w:t xml:space="preserve">a los </w:t>
      </w:r>
      <w:r w:rsidR="007919F4">
        <w:t>$</w:t>
      </w:r>
      <w:r>
        <w:t>15</w:t>
      </w:r>
      <w:r w:rsidR="007919F4">
        <w:t>.</w:t>
      </w:r>
      <w:r>
        <w:t>8</w:t>
      </w:r>
      <w:r w:rsidR="007919F4">
        <w:t>90.</w:t>
      </w:r>
      <w:r>
        <w:t xml:space="preserve"> </w:t>
      </w:r>
      <w:r w:rsidR="007919F4">
        <w:t>Ello implica que respecto a la fórmula de movilidad vigente hasta el año pasado, se</w:t>
      </w:r>
      <w:r w:rsidR="00282F84">
        <w:t xml:space="preserve"> reconocieron</w:t>
      </w:r>
      <w:r w:rsidR="007919F4">
        <w:t xml:space="preserve"> </w:t>
      </w:r>
      <w:r>
        <w:t>$200 más</w:t>
      </w:r>
      <w:r w:rsidR="00282F84">
        <w:t xml:space="preserve"> en virtud de la actualización pendiente</w:t>
      </w:r>
      <w:r>
        <w:t xml:space="preserve">. </w:t>
      </w:r>
    </w:p>
    <w:p w:rsidR="00F7351D" w:rsidRDefault="00F7351D" w:rsidP="00DC507A">
      <w:pPr>
        <w:pStyle w:val="Prrafodelista"/>
        <w:ind w:left="417" w:firstLine="0"/>
      </w:pPr>
    </w:p>
    <w:p w:rsidR="00114E9A" w:rsidRDefault="00F7351D" w:rsidP="00114E9A">
      <w:pPr>
        <w:pStyle w:val="Prrafodelista"/>
        <w:ind w:left="417" w:firstLine="0"/>
      </w:pPr>
      <w:r>
        <w:t>Cuando decimos actualización pendiente</w:t>
      </w:r>
      <w:r w:rsidR="00E25596">
        <w:t>,</w:t>
      </w:r>
      <w:r>
        <w:t xml:space="preserve"> hacemos referencia a l</w:t>
      </w:r>
      <w:r w:rsidR="00114E9A">
        <w:t>a</w:t>
      </w:r>
      <w:r w:rsidR="005B6428">
        <w:t xml:space="preserve"> significativa</w:t>
      </w:r>
      <w:r w:rsidR="00114E9A">
        <w:t xml:space="preserve"> deuda que se ha contraído con nuestros jubilados durante los últimos cua</w:t>
      </w:r>
      <w:r w:rsidR="00D90CA5">
        <w:t>tro años. La política de ajuste macrista golpeó a las jubilaciones</w:t>
      </w:r>
      <w:r w:rsidR="00E25596">
        <w:t>,</w:t>
      </w:r>
      <w:r w:rsidR="00D90CA5">
        <w:t xml:space="preserve"> reduciéndolas un </w:t>
      </w:r>
      <w:r w:rsidR="009652D3">
        <w:t>23,9</w:t>
      </w:r>
      <w:r w:rsidR="00D90CA5" w:rsidRPr="00E25596">
        <w:t>%</w:t>
      </w:r>
      <w:r w:rsidR="00E25596">
        <w:t xml:space="preserve"> en términos reales (Nov-15 vs. </w:t>
      </w:r>
      <w:r w:rsidR="00D65F17">
        <w:t>Nov</w:t>
      </w:r>
      <w:r w:rsidR="00E25596">
        <w:t xml:space="preserve">-19), </w:t>
      </w:r>
      <w:r>
        <w:t xml:space="preserve">lo que </w:t>
      </w:r>
      <w:r w:rsidRPr="003C041E">
        <w:t>conformó una de las deudas sociales más importante</w:t>
      </w:r>
      <w:r w:rsidR="00E25596" w:rsidRPr="003C041E">
        <w:t>s</w:t>
      </w:r>
      <w:r w:rsidRPr="003C041E">
        <w:t xml:space="preserve"> del gobierno con la sociedad argentina</w:t>
      </w:r>
      <w:r w:rsidR="00414ADC" w:rsidRPr="003C041E">
        <w:t xml:space="preserve">. </w:t>
      </w:r>
      <w:r w:rsidR="00E25596" w:rsidRPr="003C041E">
        <w:t>Por lo tanto</w:t>
      </w:r>
      <w:r w:rsidR="00876168" w:rsidRPr="003C041E">
        <w:t>, un aumento del 13% para el ca</w:t>
      </w:r>
      <w:r w:rsidR="005B6428" w:rsidRPr="003C041E">
        <w:t>so de la mínima</w:t>
      </w:r>
      <w:r w:rsidR="00876168" w:rsidRPr="003C041E">
        <w:t xml:space="preserve">  implica</w:t>
      </w:r>
      <w:r w:rsidR="00A12D7A">
        <w:t xml:space="preserve"> dar un paso más en un proceso pendiente de</w:t>
      </w:r>
      <w:r w:rsidR="00876168" w:rsidRPr="003C041E">
        <w:t xml:space="preserve"> </w:t>
      </w:r>
      <w:r w:rsidR="003C041E" w:rsidRPr="003C041E">
        <w:t>recompo</w:t>
      </w:r>
      <w:r w:rsidR="00A12D7A">
        <w:t xml:space="preserve">sición logrando recuperar </w:t>
      </w:r>
      <w:r w:rsidR="003C041E" w:rsidRPr="003C041E">
        <w:t xml:space="preserve"> el poder d</w:t>
      </w:r>
      <w:r w:rsidR="009652D3">
        <w:t>e compra en un 10,6% respecto a la situación de ingresos de finales del año 2019.</w:t>
      </w:r>
      <w:r w:rsidR="00A12D7A">
        <w:t xml:space="preserve"> </w:t>
      </w:r>
      <w:r w:rsidR="009652D3">
        <w:t xml:space="preserve"> </w:t>
      </w:r>
      <w:r w:rsidR="00F152EE">
        <w:t xml:space="preserve">El resto de los tramos de haberes que dispondrán de un aumento promedio del 6,5%, </w:t>
      </w:r>
      <w:r w:rsidR="00270E25">
        <w:t>tendrán una</w:t>
      </w:r>
      <w:r w:rsidR="00F152EE">
        <w:t xml:space="preserve"> recuperación real de los ingresos inferior, del 4,3% respecto a </w:t>
      </w:r>
      <w:r w:rsidR="008A4710">
        <w:t>noviembre</w:t>
      </w:r>
      <w:r w:rsidR="00F152EE">
        <w:t xml:space="preserve"> 2019.</w:t>
      </w:r>
    </w:p>
    <w:p w:rsidR="000D5C27" w:rsidRDefault="000D5C27" w:rsidP="00E25596">
      <w:pPr>
        <w:ind w:firstLine="0"/>
      </w:pPr>
    </w:p>
    <w:p w:rsidR="002B1BA0" w:rsidRDefault="002B1BA0" w:rsidP="006E30B7">
      <w:pPr>
        <w:pStyle w:val="Prrafodelista"/>
        <w:ind w:left="417" w:firstLine="0"/>
      </w:pPr>
    </w:p>
    <w:p w:rsidR="00A43DA6" w:rsidRDefault="006E30B7" w:rsidP="006E30B7">
      <w:pPr>
        <w:pStyle w:val="Prrafodelista"/>
        <w:numPr>
          <w:ilvl w:val="0"/>
          <w:numId w:val="1"/>
        </w:numPr>
      </w:pPr>
      <w:r w:rsidRPr="006E30B7">
        <w:rPr>
          <w:u w:val="single"/>
        </w:rPr>
        <w:t>Excluye del trato preferencial a una franja de</w:t>
      </w:r>
      <w:r w:rsidR="00A546E2">
        <w:rPr>
          <w:u w:val="single"/>
        </w:rPr>
        <w:t xml:space="preserve"> adultos</w:t>
      </w:r>
      <w:r w:rsidRPr="006E30B7">
        <w:rPr>
          <w:u w:val="single"/>
        </w:rPr>
        <w:t xml:space="preserve"> mayores también vulnerables</w:t>
      </w:r>
      <w:r>
        <w:t xml:space="preserve">: </w:t>
      </w:r>
      <w:r w:rsidR="00945C8E">
        <w:t xml:space="preserve">El recorte de la </w:t>
      </w:r>
      <w:r w:rsidR="001C45E8">
        <w:t>población de</w:t>
      </w:r>
      <w:r w:rsidR="005F2536">
        <w:t xml:space="preserve"> menores ingresos </w:t>
      </w:r>
      <w:r w:rsidR="00A21A1A">
        <w:t xml:space="preserve">resulta ser una conceptualización </w:t>
      </w:r>
      <w:r w:rsidR="000264AC">
        <w:t>variable según los parámetros que</w:t>
      </w:r>
      <w:r w:rsidR="000A7275">
        <w:t xml:space="preserve"> se</w:t>
      </w:r>
      <w:r w:rsidR="000264AC">
        <w:t xml:space="preserve"> utilicen</w:t>
      </w:r>
      <w:r w:rsidR="00A21A1A">
        <w:t xml:space="preserve">. Sin lugar a dudas, quienes deben </w:t>
      </w:r>
      <w:r w:rsidR="003444D7">
        <w:t xml:space="preserve">sobrevivir con el ingreso que permite la jubilación mínima atraviesan condiciones de vulnerabilidad </w:t>
      </w:r>
      <w:r w:rsidR="003444D7">
        <w:lastRenderedPageBreak/>
        <w:t>extrema. Sin embargo,</w:t>
      </w:r>
      <w:r w:rsidR="000264AC">
        <w:t xml:space="preserve"> también transitan dificultades económicas quienes no consiguen alcanza</w:t>
      </w:r>
      <w:r w:rsidR="00A43DA6">
        <w:t>r con sus ingresos</w:t>
      </w:r>
      <w:r w:rsidR="000264AC">
        <w:t xml:space="preserve"> el valor de una canasta de bienes y servicios para la tercera edad. El último valor publicado por Defensoría de la Tercera Edad </w:t>
      </w:r>
      <w:r w:rsidR="00A43DA6">
        <w:t>fue</w:t>
      </w:r>
      <w:r w:rsidR="000264AC">
        <w:t xml:space="preserve"> de $37 mil al mes de octubre del año pasado</w:t>
      </w:r>
      <w:r w:rsidR="00A43DA6">
        <w:t>,</w:t>
      </w:r>
      <w:r w:rsidR="000264AC">
        <w:t xml:space="preserve"> por lo que actualmente </w:t>
      </w:r>
      <w:r w:rsidR="00A43DA6">
        <w:t>la canasta estaría en torno a los $40 mil.</w:t>
      </w:r>
    </w:p>
    <w:p w:rsidR="00A43DA6" w:rsidRDefault="00A43DA6" w:rsidP="00A43DA6">
      <w:pPr>
        <w:pStyle w:val="Prrafodelista"/>
        <w:ind w:left="417" w:firstLine="0"/>
        <w:rPr>
          <w:u w:val="single"/>
        </w:rPr>
      </w:pPr>
    </w:p>
    <w:p w:rsidR="000733A5" w:rsidRDefault="00A43DA6" w:rsidP="00A43DA6">
      <w:pPr>
        <w:pStyle w:val="Prrafodelista"/>
        <w:ind w:left="417" w:firstLine="0"/>
      </w:pPr>
      <w:r w:rsidRPr="00A43DA6">
        <w:t xml:space="preserve">Resulta entonces que </w:t>
      </w:r>
      <w:r>
        <w:t>1.796.227 adultos mayores</w:t>
      </w:r>
      <w:r w:rsidR="003D11F9">
        <w:t>, que</w:t>
      </w:r>
      <w:r>
        <w:t xml:space="preserve"> constituye</w:t>
      </w:r>
      <w:r w:rsidR="003D11F9">
        <w:t>n</w:t>
      </w:r>
      <w:r w:rsidRPr="00A43DA6">
        <w:t xml:space="preserve"> una franja de</w:t>
      </w:r>
      <w:r w:rsidR="003D11F9">
        <w:t xml:space="preserve"> jubilados y pensionados</w:t>
      </w:r>
      <w:r>
        <w:t xml:space="preserve"> todavía vulnerables en términos de ingresos, recibirán por debajo del 13% anunciado</w:t>
      </w:r>
      <w:r w:rsidR="000A7275">
        <w:t>. E</w:t>
      </w:r>
      <w:r>
        <w:t>n promedio</w:t>
      </w:r>
      <w:r w:rsidR="003D11F9">
        <w:t>,</w:t>
      </w:r>
      <w:r>
        <w:t xml:space="preserve"> </w:t>
      </w:r>
      <w:r w:rsidR="000A7275">
        <w:t>tendrán una actualiza</w:t>
      </w:r>
      <w:r w:rsidR="008A20C2">
        <w:t>ción de sus ingresos del 8,5%, 3</w:t>
      </w:r>
      <w:r w:rsidR="000A7275">
        <w:t xml:space="preserve"> p.p. por debajo de lo que </w:t>
      </w:r>
      <w:r w:rsidR="005130E1">
        <w:t>resultaría</w:t>
      </w:r>
      <w:r w:rsidR="000A7275">
        <w:t xml:space="preserve"> de la aplicación de la fórmula de movilidad</w:t>
      </w:r>
      <w:r w:rsidR="000A7275" w:rsidRPr="005130E1">
        <w:t>.</w:t>
      </w:r>
      <w:r w:rsidR="00BF1A0D" w:rsidRPr="005130E1">
        <w:t xml:space="preserve"> Este segmento de beneficiarios entonces logrará en marzo una recomposición real </w:t>
      </w:r>
      <w:r w:rsidR="005130E1">
        <w:t xml:space="preserve">menor, </w:t>
      </w:r>
      <w:r w:rsidR="00BF1A0D" w:rsidRPr="005130E1">
        <w:t xml:space="preserve">del </w:t>
      </w:r>
      <w:r w:rsidR="00E25596" w:rsidRPr="005130E1">
        <w:t>6,</w:t>
      </w:r>
      <w:r w:rsidR="005130E1">
        <w:t>3</w:t>
      </w:r>
      <w:r w:rsidR="00BF1A0D" w:rsidRPr="005130E1">
        <w:t>%</w:t>
      </w:r>
      <w:r w:rsidR="00E25596" w:rsidRPr="005130E1">
        <w:t xml:space="preserve"> respecto a </w:t>
      </w:r>
      <w:r w:rsidR="005130E1">
        <w:t>finales del año pasado.</w:t>
      </w:r>
    </w:p>
    <w:p w:rsidR="001E07C5" w:rsidRDefault="001E07C5" w:rsidP="00A43DA6">
      <w:pPr>
        <w:pStyle w:val="Prrafodelista"/>
        <w:ind w:left="417" w:firstLine="0"/>
      </w:pPr>
    </w:p>
    <w:p w:rsidR="003217F9" w:rsidRDefault="001E07C5" w:rsidP="00BF3D9D">
      <w:pPr>
        <w:pStyle w:val="Prrafodelista"/>
        <w:ind w:left="417" w:firstLine="0"/>
      </w:pPr>
      <w:r>
        <w:t>Asimismo</w:t>
      </w:r>
      <w:r w:rsidR="00D17B46">
        <w:t xml:space="preserve"> ocurre, conforme al esquema de diferenciar porcentajes de aumentos según beneficio y no por beneficiario, la posible inequidad</w:t>
      </w:r>
      <w:r w:rsidR="005130E1">
        <w:t xml:space="preserve"> en el trato</w:t>
      </w:r>
      <w:r w:rsidR="00D17B46">
        <w:t xml:space="preserve"> entre grupos de jubilados</w:t>
      </w:r>
      <w:r w:rsidR="005130E1">
        <w:t xml:space="preserve"> que perciben ingresos similares. Por ejemplo quienes perciben un ingreso equivalente al de dos haberes mínimos a través d</w:t>
      </w:r>
      <w:r w:rsidR="00D17B46">
        <w:t>el cobro doble  (jubilación y pensión)</w:t>
      </w:r>
      <w:r>
        <w:t xml:space="preserve"> </w:t>
      </w:r>
      <w:r w:rsidR="005F2685">
        <w:t>ve</w:t>
      </w:r>
      <w:r w:rsidR="005130E1">
        <w:t>rán</w:t>
      </w:r>
      <w:r w:rsidR="005F2685">
        <w:t xml:space="preserve"> incrementar sus ingresos por encima </w:t>
      </w:r>
      <w:r w:rsidR="005130E1">
        <w:t>de aquellos</w:t>
      </w:r>
      <w:r w:rsidR="005F2685">
        <w:t xml:space="preserve"> jubi</w:t>
      </w:r>
      <w:r w:rsidR="00052F79">
        <w:t xml:space="preserve">lados que </w:t>
      </w:r>
      <w:r w:rsidR="00052F79" w:rsidRPr="00084A34">
        <w:t>cuenta</w:t>
      </w:r>
      <w:r w:rsidR="005130E1" w:rsidRPr="00084A34">
        <w:t>n</w:t>
      </w:r>
      <w:r w:rsidR="00052F79" w:rsidRPr="00084A34">
        <w:t xml:space="preserve"> con un solo </w:t>
      </w:r>
      <w:r w:rsidR="00341CE8">
        <w:t>haber</w:t>
      </w:r>
      <w:r w:rsidR="005130E1" w:rsidRPr="00084A34">
        <w:t xml:space="preserve"> equivalente a dos mínimas. </w:t>
      </w:r>
      <w:r w:rsidR="005F2685" w:rsidRPr="00084A34">
        <w:t xml:space="preserve"> </w:t>
      </w:r>
      <w:r w:rsidR="005130E1" w:rsidRPr="00084A34">
        <w:t xml:space="preserve">Más aún, la </w:t>
      </w:r>
      <w:r w:rsidR="006E6632">
        <w:t>inequidad se vuelve más injusta</w:t>
      </w:r>
      <w:r w:rsidR="005130E1" w:rsidRPr="00084A34">
        <w:t xml:space="preserve"> si </w:t>
      </w:r>
      <w:r w:rsidR="00084A34" w:rsidRPr="00084A34">
        <w:t>el caso anterior</w:t>
      </w:r>
      <w:r w:rsidR="006E6632">
        <w:t xml:space="preserve"> (de doble percepción)</w:t>
      </w:r>
      <w:r w:rsidR="00084A34" w:rsidRPr="00084A34">
        <w:t xml:space="preserve"> se compara con una franja de jubilados </w:t>
      </w:r>
      <w:r w:rsidR="00F56419">
        <w:t>cuyos ingresos</w:t>
      </w:r>
      <w:r w:rsidR="00F27D29">
        <w:t xml:space="preserve"> superan</w:t>
      </w:r>
      <w:r w:rsidR="00084A34" w:rsidRPr="00084A34">
        <w:t xml:space="preserve"> lev</w:t>
      </w:r>
      <w:r w:rsidR="006E6632">
        <w:t>emente la mínima</w:t>
      </w:r>
      <w:r w:rsidR="00084A34" w:rsidRPr="00084A34">
        <w:t>.</w:t>
      </w:r>
    </w:p>
    <w:p w:rsidR="00765C8D" w:rsidRDefault="00765C8D" w:rsidP="00BF3D9D">
      <w:pPr>
        <w:pStyle w:val="Prrafodelista"/>
        <w:ind w:left="417" w:firstLine="0"/>
        <w:rPr>
          <w:color w:val="00B050"/>
        </w:rPr>
      </w:pPr>
    </w:p>
    <w:p w:rsidR="00765C8D" w:rsidRPr="00931076" w:rsidRDefault="003217F9" w:rsidP="00765C8D">
      <w:pPr>
        <w:pStyle w:val="Prrafodelista"/>
        <w:ind w:left="417" w:firstLine="0"/>
      </w:pPr>
      <w:r w:rsidRPr="003217F9">
        <w:t xml:space="preserve">En definitiva, la inequidad que plantea esta medida tiene origen en </w:t>
      </w:r>
      <w:r w:rsidR="004A5FE5">
        <w:t xml:space="preserve">un umbral de haberes exageradamente bajo para delimitar el criterio de vulnerabilidad </w:t>
      </w:r>
      <w:r w:rsidR="00765C8D">
        <w:t xml:space="preserve">organizado sobre la base del beneficio, en lugar del beneficiario, como parámetro. Estrictamente, quienes sólo viven con un haber mínimo son 2,8 millones de jubilados (el 48% del total) ya que el resto  1,6 millones cuentan con el complemento de una pensión y por lo tanto, pasan a situarse en tramos más elevados de ingresos. Obsérvese del cuadro que </w:t>
      </w:r>
      <w:r w:rsidR="00FD422C">
        <w:t xml:space="preserve">la distribución del ingreso del sistema previsional cuenta con mayor cantidad de beneficiarios que beneficios en los tramos tres, cuatro, cinco y seis conforme a la doble imputación. Es decir, la distribución de los beneficios por tramos de haberes no es exhaustiva para reflejar las reales condiciones de ingresos de jubilados siendo lo más preocupante considerar de altos ingresos </w:t>
      </w:r>
      <w:r w:rsidR="00B07EF6">
        <w:t xml:space="preserve">a </w:t>
      </w:r>
      <w:r w:rsidR="00FD422C">
        <w:t xml:space="preserve">jubilados </w:t>
      </w:r>
      <w:r w:rsidR="00B07EF6">
        <w:t xml:space="preserve">que con un </w:t>
      </w:r>
      <w:r w:rsidR="000674B1">
        <w:t>haber previsional supera</w:t>
      </w:r>
      <w:r w:rsidR="00570595">
        <w:t>n</w:t>
      </w:r>
      <w:r w:rsidR="000674B1">
        <w:t xml:space="preserve"> con poco margen el haber mínimo.</w:t>
      </w:r>
      <w:r w:rsidR="00FD422C">
        <w:t xml:space="preserve"> </w:t>
      </w:r>
    </w:p>
    <w:p w:rsidR="001E07C5" w:rsidRPr="00A43DA6" w:rsidRDefault="001E07C5" w:rsidP="00A43DA6">
      <w:pPr>
        <w:pStyle w:val="Prrafodelista"/>
        <w:ind w:left="417" w:firstLine="0"/>
      </w:pPr>
    </w:p>
    <w:p w:rsidR="00D17D04" w:rsidRDefault="00D17D04" w:rsidP="00D17D04">
      <w:pPr>
        <w:rPr>
          <w:b/>
          <w:sz w:val="20"/>
        </w:rPr>
      </w:pPr>
      <w:r w:rsidRPr="003D11F9">
        <w:rPr>
          <w:b/>
          <w:sz w:val="20"/>
        </w:rPr>
        <w:t>Impacto del aumento en Jubilaciones y Pensiones de marzo 2020 por tramos de haberes.</w:t>
      </w:r>
    </w:p>
    <w:p w:rsidR="006E30B7" w:rsidRDefault="00D17D04" w:rsidP="00224C33">
      <w:pPr>
        <w:pStyle w:val="Prrafodelista"/>
        <w:ind w:left="284"/>
      </w:pPr>
      <w:r>
        <w:rPr>
          <w:noProof/>
          <w:lang w:val="es-AR" w:eastAsia="es-AR"/>
        </w:rPr>
        <w:drawing>
          <wp:inline distT="0" distB="0" distL="0" distR="0">
            <wp:extent cx="5260316" cy="2277374"/>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60316" cy="2277374"/>
                    </a:xfrm>
                    <a:prstGeom prst="rect">
                      <a:avLst/>
                    </a:prstGeom>
                    <a:noFill/>
                    <a:ln w="9525">
                      <a:noFill/>
                      <a:miter lim="800000"/>
                      <a:headEnd/>
                      <a:tailEnd/>
                    </a:ln>
                  </pic:spPr>
                </pic:pic>
              </a:graphicData>
            </a:graphic>
          </wp:inline>
        </w:drawing>
      </w:r>
    </w:p>
    <w:p w:rsidR="00D17D04" w:rsidRDefault="00D17D04" w:rsidP="00F83EF3">
      <w:pPr>
        <w:rPr>
          <w:b/>
          <w:sz w:val="20"/>
        </w:rPr>
      </w:pPr>
    </w:p>
    <w:p w:rsidR="00D17D04" w:rsidRDefault="00D17D04" w:rsidP="00F83EF3">
      <w:pPr>
        <w:rPr>
          <w:b/>
          <w:sz w:val="20"/>
        </w:rPr>
      </w:pPr>
    </w:p>
    <w:p w:rsidR="00D17D04" w:rsidRDefault="00D17D04" w:rsidP="00F83EF3">
      <w:pPr>
        <w:rPr>
          <w:b/>
          <w:sz w:val="20"/>
        </w:rPr>
      </w:pPr>
    </w:p>
    <w:p w:rsidR="00D17D04" w:rsidRDefault="00D17D04" w:rsidP="00F83EF3">
      <w:pPr>
        <w:rPr>
          <w:b/>
          <w:sz w:val="20"/>
        </w:rPr>
      </w:pPr>
    </w:p>
    <w:p w:rsidR="008674E6" w:rsidRPr="00F83EF3" w:rsidRDefault="008674E6" w:rsidP="00F83EF3">
      <w:pPr>
        <w:ind w:left="57" w:firstLine="0"/>
        <w:rPr>
          <w:sz w:val="18"/>
          <w:szCs w:val="20"/>
        </w:rPr>
      </w:pPr>
      <w:r w:rsidRPr="00F83EF3">
        <w:rPr>
          <w:sz w:val="18"/>
          <w:szCs w:val="20"/>
        </w:rPr>
        <w:t xml:space="preserve">Referencias salariales por tramo: (1) $14.066,86 (haber mínimo) ; (2) $17.167,70 ; (3) </w:t>
      </w:r>
      <w:r w:rsidR="003D11F9">
        <w:rPr>
          <w:sz w:val="18"/>
          <w:szCs w:val="20"/>
        </w:rPr>
        <w:t>$</w:t>
      </w:r>
      <w:r w:rsidRPr="00F83EF3">
        <w:rPr>
          <w:sz w:val="18"/>
          <w:szCs w:val="20"/>
        </w:rPr>
        <w:t xml:space="preserve">30.402,80 ; (4) </w:t>
      </w:r>
      <w:r w:rsidR="003D11F9">
        <w:rPr>
          <w:sz w:val="18"/>
          <w:szCs w:val="20"/>
        </w:rPr>
        <w:t>$</w:t>
      </w:r>
      <w:r w:rsidRPr="00F83EF3">
        <w:rPr>
          <w:sz w:val="18"/>
          <w:szCs w:val="20"/>
        </w:rPr>
        <w:t xml:space="preserve">54.049,42 ; (5) </w:t>
      </w:r>
      <w:r w:rsidR="003D11F9">
        <w:rPr>
          <w:sz w:val="18"/>
          <w:szCs w:val="20"/>
        </w:rPr>
        <w:t>$</w:t>
      </w:r>
      <w:r w:rsidRPr="00F83EF3">
        <w:rPr>
          <w:sz w:val="18"/>
          <w:szCs w:val="20"/>
        </w:rPr>
        <w:t>85.312,89 ; (6) $103.064,23 (haber máximo).</w:t>
      </w:r>
    </w:p>
    <w:p w:rsidR="008674E6" w:rsidRPr="00F83EF3" w:rsidRDefault="008674E6" w:rsidP="008674E6">
      <w:pPr>
        <w:rPr>
          <w:sz w:val="18"/>
          <w:szCs w:val="20"/>
        </w:rPr>
      </w:pPr>
      <w:r w:rsidRPr="00F83EF3">
        <w:rPr>
          <w:sz w:val="18"/>
          <w:szCs w:val="20"/>
        </w:rPr>
        <w:t>Para calcular el aumento total, se calculó un promedio ponderado de los aumentos por cada tramo.</w:t>
      </w:r>
    </w:p>
    <w:p w:rsidR="008674E6" w:rsidRPr="00F83EF3" w:rsidRDefault="008674E6" w:rsidP="008674E6">
      <w:pPr>
        <w:rPr>
          <w:sz w:val="18"/>
          <w:szCs w:val="20"/>
        </w:rPr>
      </w:pPr>
      <w:r w:rsidRPr="00F83EF3">
        <w:rPr>
          <w:sz w:val="18"/>
          <w:szCs w:val="20"/>
        </w:rPr>
        <w:t xml:space="preserve">(*) Al mes de febrero, </w:t>
      </w:r>
      <w:r w:rsidR="003D11F9">
        <w:rPr>
          <w:sz w:val="18"/>
          <w:szCs w:val="20"/>
        </w:rPr>
        <w:t xml:space="preserve">se estima que </w:t>
      </w:r>
      <w:r w:rsidRPr="00F83EF3">
        <w:rPr>
          <w:sz w:val="18"/>
          <w:szCs w:val="20"/>
        </w:rPr>
        <w:t>la canast</w:t>
      </w:r>
      <w:r w:rsidR="003D11F9">
        <w:rPr>
          <w:sz w:val="18"/>
          <w:szCs w:val="20"/>
        </w:rPr>
        <w:t>a para la tercera edad ascienda a</w:t>
      </w:r>
      <w:r w:rsidRPr="00F83EF3">
        <w:rPr>
          <w:sz w:val="18"/>
          <w:szCs w:val="20"/>
        </w:rPr>
        <w:t xml:space="preserve"> $42.763.</w:t>
      </w:r>
    </w:p>
    <w:p w:rsidR="008674E6" w:rsidRPr="00F83EF3" w:rsidRDefault="00F83EF3" w:rsidP="008674E6">
      <w:pPr>
        <w:rPr>
          <w:sz w:val="18"/>
          <w:szCs w:val="20"/>
        </w:rPr>
      </w:pPr>
      <w:r w:rsidRPr="003D11F9">
        <w:rPr>
          <w:b/>
          <w:sz w:val="18"/>
          <w:szCs w:val="20"/>
        </w:rPr>
        <w:t>Fuente</w:t>
      </w:r>
      <w:r>
        <w:rPr>
          <w:sz w:val="18"/>
          <w:szCs w:val="20"/>
        </w:rPr>
        <w:t>: elaboración propia en base a datos del BESS y Anses.</w:t>
      </w:r>
    </w:p>
    <w:p w:rsidR="008E7EBE" w:rsidRDefault="008E7EBE" w:rsidP="006E30B7">
      <w:pPr>
        <w:pStyle w:val="Prrafodelista"/>
      </w:pPr>
    </w:p>
    <w:p w:rsidR="00975A7A" w:rsidRDefault="00975A7A" w:rsidP="00975A7A"/>
    <w:p w:rsidR="00D17D04" w:rsidRDefault="00D17D04" w:rsidP="00D17D04">
      <w:pPr>
        <w:rPr>
          <w:b/>
          <w:sz w:val="20"/>
        </w:rPr>
      </w:pPr>
      <w:r>
        <w:rPr>
          <w:b/>
          <w:sz w:val="20"/>
        </w:rPr>
        <w:t>Cantidad de beneficios vs. beneficiarios según tramos de haber previsional</w:t>
      </w:r>
      <w:r w:rsidRPr="003D11F9">
        <w:rPr>
          <w:b/>
          <w:sz w:val="20"/>
        </w:rPr>
        <w:t>.</w:t>
      </w:r>
      <w:r>
        <w:rPr>
          <w:b/>
          <w:sz w:val="20"/>
        </w:rPr>
        <w:t xml:space="preserve"> Febrero 2020</w:t>
      </w:r>
    </w:p>
    <w:p w:rsidR="006E6632" w:rsidRDefault="006E6632" w:rsidP="00975A7A">
      <w:r w:rsidRPr="006E6632">
        <w:rPr>
          <w:noProof/>
          <w:lang w:val="es-AR" w:eastAsia="es-AR"/>
        </w:rPr>
        <w:drawing>
          <wp:inline distT="0" distB="0" distL="0" distR="0">
            <wp:extent cx="5400040" cy="144131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00040" cy="1441314"/>
                    </a:xfrm>
                    <a:prstGeom prst="rect">
                      <a:avLst/>
                    </a:prstGeom>
                    <a:noFill/>
                    <a:ln w="9525">
                      <a:noFill/>
                      <a:miter lim="800000"/>
                      <a:headEnd/>
                      <a:tailEnd/>
                    </a:ln>
                  </pic:spPr>
                </pic:pic>
              </a:graphicData>
            </a:graphic>
          </wp:inline>
        </w:drawing>
      </w:r>
    </w:p>
    <w:p w:rsidR="00D17D04" w:rsidRPr="00F83EF3" w:rsidRDefault="00D17D04" w:rsidP="00D17D04">
      <w:pPr>
        <w:rPr>
          <w:sz w:val="18"/>
          <w:szCs w:val="20"/>
        </w:rPr>
      </w:pPr>
      <w:r w:rsidRPr="003D11F9">
        <w:rPr>
          <w:b/>
          <w:sz w:val="18"/>
          <w:szCs w:val="20"/>
        </w:rPr>
        <w:t>Fuente</w:t>
      </w:r>
      <w:r>
        <w:rPr>
          <w:sz w:val="18"/>
          <w:szCs w:val="20"/>
        </w:rPr>
        <w:t>: elaboración propia en base a datos del BESS y Anses.</w:t>
      </w:r>
    </w:p>
    <w:p w:rsidR="006E6632" w:rsidRDefault="006E6632" w:rsidP="00975A7A"/>
    <w:p w:rsidR="006E6632" w:rsidRDefault="006E6632" w:rsidP="00975A7A"/>
    <w:p w:rsidR="006E30B7" w:rsidRPr="0022008F" w:rsidRDefault="00715196" w:rsidP="006E30B7">
      <w:pPr>
        <w:pStyle w:val="Prrafodelista"/>
        <w:numPr>
          <w:ilvl w:val="0"/>
          <w:numId w:val="1"/>
        </w:numPr>
        <w:rPr>
          <w:u w:val="single"/>
        </w:rPr>
      </w:pPr>
      <w:r>
        <w:rPr>
          <w:u w:val="single"/>
        </w:rPr>
        <w:t>P</w:t>
      </w:r>
      <w:r w:rsidR="006E30B7" w:rsidRPr="00A546E2">
        <w:rPr>
          <w:u w:val="single"/>
        </w:rPr>
        <w:t>roduce un ahorro fiscal</w:t>
      </w:r>
      <w:r w:rsidR="00F21FD5">
        <w:rPr>
          <w:u w:val="single"/>
        </w:rPr>
        <w:t xml:space="preserve"> del gasto en jubilaciones y pensiones</w:t>
      </w:r>
      <w:r w:rsidR="006E30B7" w:rsidRPr="00A546E2">
        <w:rPr>
          <w:u w:val="single"/>
        </w:rPr>
        <w:t xml:space="preserve"> </w:t>
      </w:r>
      <w:r w:rsidR="00A546E2" w:rsidRPr="00A546E2">
        <w:rPr>
          <w:u w:val="single"/>
        </w:rPr>
        <w:t>de $</w:t>
      </w:r>
      <w:r w:rsidR="00A546E2">
        <w:rPr>
          <w:u w:val="single"/>
        </w:rPr>
        <w:t>3.400</w:t>
      </w:r>
      <w:r w:rsidR="00A546E2" w:rsidRPr="00A546E2">
        <w:rPr>
          <w:u w:val="single"/>
        </w:rPr>
        <w:t xml:space="preserve"> millones </w:t>
      </w:r>
      <w:r w:rsidR="00A546E2">
        <w:rPr>
          <w:u w:val="single"/>
        </w:rPr>
        <w:t>por mes</w:t>
      </w:r>
      <w:r w:rsidR="00F21FD5">
        <w:rPr>
          <w:u w:val="single"/>
        </w:rPr>
        <w:t xml:space="preserve"> ($10.000 millones en el trimestre)</w:t>
      </w:r>
      <w:r w:rsidR="00A546E2" w:rsidRPr="00A546E2">
        <w:t>:</w:t>
      </w:r>
      <w:r w:rsidR="006E30B7" w:rsidRPr="006E30B7">
        <w:t xml:space="preserve"> así como no</w:t>
      </w:r>
      <w:r w:rsidR="006E30B7">
        <w:t xml:space="preserve"> corresponde concluir que a partir de marzo el haber</w:t>
      </w:r>
      <w:r w:rsidR="00E10017">
        <w:t xml:space="preserve"> mínimo</w:t>
      </w:r>
      <w:r w:rsidR="006E30B7">
        <w:t xml:space="preserve"> cae</w:t>
      </w:r>
      <w:r w:rsidR="004E25EF">
        <w:t>rá</w:t>
      </w:r>
      <w:r w:rsidR="006E30B7">
        <w:t xml:space="preserve"> de los $19.000 que había alcanzado en diciembre y enero</w:t>
      </w:r>
      <w:r w:rsidR="004E25EF">
        <w:t xml:space="preserve"> gracias al bono a $15.800</w:t>
      </w:r>
      <w:r w:rsidR="006E30B7">
        <w:t xml:space="preserve">, </w:t>
      </w:r>
      <w:r w:rsidR="00E10017">
        <w:t xml:space="preserve">tampoco es correcto </w:t>
      </w:r>
      <w:r w:rsidR="004E25EF">
        <w:t xml:space="preserve">inferir que efecto fiscal es neutro considerando aquella erogación de emergencia. </w:t>
      </w:r>
      <w:r w:rsidR="0022008F">
        <w:t xml:space="preserve">Si efectivamente existe un </w:t>
      </w:r>
      <w:r w:rsidR="004E25EF">
        <w:t xml:space="preserve"> efecto fiscal de ahorro o de aumento del gasto público de lo dispuesto recientemente debe compararse respecto a lo que estipulaba la movilidad jubilatoria ahora modificada.</w:t>
      </w:r>
    </w:p>
    <w:p w:rsidR="0022008F" w:rsidRDefault="0022008F" w:rsidP="0022008F">
      <w:pPr>
        <w:pStyle w:val="Prrafodelista"/>
        <w:ind w:left="417" w:firstLine="0"/>
        <w:rPr>
          <w:u w:val="single"/>
        </w:rPr>
      </w:pPr>
    </w:p>
    <w:p w:rsidR="0022008F" w:rsidRDefault="006B4197" w:rsidP="0022008F">
      <w:pPr>
        <w:pStyle w:val="Prrafodelista"/>
        <w:ind w:left="417" w:firstLine="0"/>
      </w:pPr>
      <w:r>
        <w:t xml:space="preserve">Concretamente durante los dos meses en los cuales tuvo efecto el bono, la inversión pública en jubilaciones y pensiones (no consideramos en esta suma lo destinado a las prestaciones no contributivas) fue de $14.952,9 millones mensuales. </w:t>
      </w:r>
      <w:r w:rsidR="006238E0">
        <w:t>Ahora bien, este monto es similar a lo que comenzará a asignarse como mayor gasto previsional por el aumento recién dispuesto, de $13.689 millones mensuales</w:t>
      </w:r>
      <w:r w:rsidR="009D4945">
        <w:t xml:space="preserve">. De aquí se desprende el argumento de la neutralidad fiscal, considerando que lo que se dispuso para la asignación de bonos prácticamente equivale al costo del aumento previsional. </w:t>
      </w:r>
    </w:p>
    <w:p w:rsidR="009D4945" w:rsidRDefault="009D4945" w:rsidP="0022008F">
      <w:pPr>
        <w:pStyle w:val="Prrafodelista"/>
        <w:ind w:left="417" w:firstLine="0"/>
      </w:pPr>
    </w:p>
    <w:p w:rsidR="009D4945" w:rsidRDefault="009D4945" w:rsidP="0022008F">
      <w:pPr>
        <w:pStyle w:val="Prrafodelista"/>
        <w:ind w:left="417" w:firstLine="0"/>
      </w:pPr>
      <w:r>
        <w:t>Como se destacó, el aumento que preveía la fórmula de movilidad del 11,56% para el conjunto de haberes previsionales requería, sin embargo, una erogación mayor: $17.111,9 millones</w:t>
      </w:r>
      <w:r w:rsidR="00401151">
        <w:t xml:space="preserve"> mensuales, con lo cual el ahorro fiscal que le permitió al gobierno la suspensión en marzo de la fórmula de movilidad (sólo en materia de jubilaciones y pensiones) es de $3.422,6 millones mensuales, $10 mil millones en el trimestre</w:t>
      </w:r>
      <w:r>
        <w:t>.</w:t>
      </w:r>
      <w:r w:rsidR="00D94792">
        <w:t xml:space="preserve"> </w:t>
      </w:r>
    </w:p>
    <w:p w:rsidR="00D94792" w:rsidRDefault="00D94792" w:rsidP="0022008F">
      <w:pPr>
        <w:pStyle w:val="Prrafodelista"/>
        <w:ind w:left="417" w:firstLine="0"/>
      </w:pPr>
    </w:p>
    <w:p w:rsidR="00D94792" w:rsidRPr="006E30B7" w:rsidRDefault="00D94792" w:rsidP="0022008F">
      <w:pPr>
        <w:pStyle w:val="Prrafodelista"/>
        <w:ind w:left="417" w:firstLine="0"/>
        <w:rPr>
          <w:u w:val="single"/>
        </w:rPr>
      </w:pPr>
      <w:r>
        <w:t>De todos modos</w:t>
      </w:r>
      <w:r w:rsidR="00C8607A">
        <w:t>,</w:t>
      </w:r>
      <w:r>
        <w:t xml:space="preserve"> cabe destacar que considerando</w:t>
      </w:r>
      <w:r w:rsidR="00C8607A">
        <w:t xml:space="preserve"> el período comprendido entre el comienzo de la gestión de Alberto Fernández (</w:t>
      </w:r>
      <w:r>
        <w:t>diciembre 2019</w:t>
      </w:r>
      <w:r w:rsidR="00C8607A">
        <w:t xml:space="preserve">) hasta el mes de </w:t>
      </w:r>
      <w:r>
        <w:t xml:space="preserve">mayo, el gasto previsional </w:t>
      </w:r>
      <w:r w:rsidR="00C8607A">
        <w:t>será</w:t>
      </w:r>
      <w:r>
        <w:t xml:space="preserve"> ma</w:t>
      </w:r>
      <w:r w:rsidR="006D4630">
        <w:t>yor en $19.638 millones ya que</w:t>
      </w:r>
      <w:r>
        <w:t xml:space="preserve"> el ahorro </w:t>
      </w:r>
      <w:r w:rsidR="006D4630">
        <w:t xml:space="preserve">originado </w:t>
      </w:r>
      <w:r>
        <w:t>por la suspensión de la fórmula de movilidad</w:t>
      </w:r>
      <w:r w:rsidR="00B0531C">
        <w:t xml:space="preserve"> (de marzo a mayo)</w:t>
      </w:r>
      <w:r>
        <w:t xml:space="preserve"> no supera lo asignado mediante los bonos</w:t>
      </w:r>
      <w:r w:rsidR="00B0531C">
        <w:t xml:space="preserve"> (en diciembre y enero)</w:t>
      </w:r>
      <w:r>
        <w:t>. Sin embargo, hay que advertir que este balance positivo</w:t>
      </w:r>
      <w:r w:rsidR="00B0531C">
        <w:t xml:space="preserve"> es sólo temporal y se podrá sostener únicamente</w:t>
      </w:r>
      <w:r>
        <w:t xml:space="preserve"> si el porcentaje de aumento del mes de junio restituye el ahorro fiscal ocasionado en el segundo trimestre 2020. De no suceder lo anterior, se consolida una inversión previsional inferior a la que correspondería con la movilidad automática</w:t>
      </w:r>
      <w:r w:rsidR="00B0531C">
        <w:t xml:space="preserve"> y el efecto positivo</w:t>
      </w:r>
      <w:r w:rsidR="00084A34">
        <w:t>,</w:t>
      </w:r>
      <w:r w:rsidR="008E646C">
        <w:t xml:space="preserve"> distributivo y reactivador de los primeros meses quedaría diluido.</w:t>
      </w:r>
    </w:p>
    <w:p w:rsidR="006E30B7" w:rsidRDefault="006E30B7" w:rsidP="006E30B7">
      <w:pPr>
        <w:pStyle w:val="Prrafodelista"/>
      </w:pPr>
    </w:p>
    <w:p w:rsidR="00D94792" w:rsidRPr="00D841F1" w:rsidRDefault="00D841F1" w:rsidP="006E30B7">
      <w:pPr>
        <w:pStyle w:val="Prrafodelista"/>
        <w:rPr>
          <w:b/>
          <w:sz w:val="20"/>
        </w:rPr>
      </w:pPr>
      <w:r w:rsidRPr="00D841F1">
        <w:rPr>
          <w:b/>
          <w:sz w:val="20"/>
        </w:rPr>
        <w:t>Cálculo del costo f</w:t>
      </w:r>
      <w:r>
        <w:rPr>
          <w:b/>
          <w:sz w:val="20"/>
        </w:rPr>
        <w:t>iscal generado a partir de</w:t>
      </w:r>
      <w:r w:rsidRPr="00D841F1">
        <w:rPr>
          <w:b/>
          <w:sz w:val="20"/>
        </w:rPr>
        <w:t xml:space="preserve"> la implementación del aumento jubilatorio, </w:t>
      </w:r>
      <w:r>
        <w:rPr>
          <w:b/>
          <w:sz w:val="20"/>
        </w:rPr>
        <w:t xml:space="preserve">desde </w:t>
      </w:r>
      <w:r w:rsidRPr="00D841F1">
        <w:rPr>
          <w:b/>
          <w:sz w:val="20"/>
        </w:rPr>
        <w:t xml:space="preserve">marzo 2020. En millones de pesos. </w:t>
      </w:r>
    </w:p>
    <w:tbl>
      <w:tblPr>
        <w:tblW w:w="8100" w:type="dxa"/>
        <w:jc w:val="center"/>
        <w:tblInd w:w="65" w:type="dxa"/>
        <w:tblCellMar>
          <w:left w:w="70" w:type="dxa"/>
          <w:right w:w="70" w:type="dxa"/>
        </w:tblCellMar>
        <w:tblLook w:val="04A0" w:firstRow="1" w:lastRow="0" w:firstColumn="1" w:lastColumn="0" w:noHBand="0" w:noVBand="1"/>
      </w:tblPr>
      <w:tblGrid>
        <w:gridCol w:w="1360"/>
        <w:gridCol w:w="1940"/>
        <w:gridCol w:w="1200"/>
        <w:gridCol w:w="1200"/>
        <w:gridCol w:w="1200"/>
        <w:gridCol w:w="1200"/>
      </w:tblGrid>
      <w:tr w:rsidR="00D841F1" w:rsidRPr="00D841F1" w:rsidTr="000344C9">
        <w:trPr>
          <w:trHeight w:val="585"/>
          <w:jc w:val="center"/>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0070C0"/>
            <w:vAlign w:val="bottom"/>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 </w:t>
            </w:r>
          </w:p>
        </w:tc>
        <w:tc>
          <w:tcPr>
            <w:tcW w:w="3140" w:type="dxa"/>
            <w:gridSpan w:val="2"/>
            <w:tcBorders>
              <w:top w:val="single" w:sz="4" w:space="0" w:color="auto"/>
              <w:left w:val="nil"/>
              <w:bottom w:val="single" w:sz="4" w:space="0" w:color="auto"/>
              <w:right w:val="single" w:sz="4" w:space="0" w:color="auto"/>
            </w:tcBorders>
            <w:shd w:val="clear" w:color="000000" w:fill="0070C0"/>
            <w:vAlign w:val="center"/>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Gasto Jubilaciones y Pensiones (Efectivo)</w:t>
            </w:r>
          </w:p>
        </w:tc>
        <w:tc>
          <w:tcPr>
            <w:tcW w:w="2400" w:type="dxa"/>
            <w:gridSpan w:val="2"/>
            <w:tcBorders>
              <w:top w:val="single" w:sz="4" w:space="0" w:color="auto"/>
              <w:left w:val="nil"/>
              <w:bottom w:val="single" w:sz="4" w:space="0" w:color="auto"/>
              <w:right w:val="single" w:sz="4" w:space="0" w:color="auto"/>
            </w:tcBorders>
            <w:shd w:val="clear" w:color="000000" w:fill="0070C0"/>
            <w:vAlign w:val="center"/>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 xml:space="preserve">Gasto Previsional </w:t>
            </w:r>
            <w:r w:rsidRPr="00D841F1">
              <w:rPr>
                <w:rFonts w:ascii="Calibri" w:eastAsia="Times New Roman" w:hAnsi="Calibri" w:cs="Calibri"/>
                <w:color w:val="FFFFFF"/>
                <w:sz w:val="20"/>
                <w:szCs w:val="20"/>
                <w:lang w:val="es-ES" w:eastAsia="es-ES"/>
              </w:rPr>
              <w:br/>
              <w:t>(Continuidad de la fórmula)</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Variación en gasto previsional</w:t>
            </w:r>
          </w:p>
        </w:tc>
      </w:tr>
      <w:tr w:rsidR="00D841F1" w:rsidRPr="00D841F1" w:rsidTr="000344C9">
        <w:trPr>
          <w:trHeight w:val="255"/>
          <w:jc w:val="center"/>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D841F1" w:rsidRPr="00D841F1" w:rsidRDefault="00D841F1" w:rsidP="00D841F1">
            <w:pPr>
              <w:ind w:firstLine="0"/>
              <w:jc w:val="left"/>
              <w:rPr>
                <w:rFonts w:ascii="Calibri" w:eastAsia="Times New Roman" w:hAnsi="Calibri" w:cs="Calibri"/>
                <w:color w:val="FFFFFF"/>
                <w:sz w:val="20"/>
                <w:szCs w:val="20"/>
                <w:lang w:val="es-ES" w:eastAsia="es-ES"/>
              </w:rPr>
            </w:pPr>
          </w:p>
        </w:tc>
        <w:tc>
          <w:tcPr>
            <w:tcW w:w="1940" w:type="dxa"/>
            <w:tcBorders>
              <w:top w:val="nil"/>
              <w:left w:val="nil"/>
              <w:bottom w:val="single" w:sz="4" w:space="0" w:color="auto"/>
              <w:right w:val="single" w:sz="4" w:space="0" w:color="auto"/>
            </w:tcBorders>
            <w:shd w:val="clear" w:color="000000" w:fill="0070C0"/>
            <w:vAlign w:val="bottom"/>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 xml:space="preserve">Total </w:t>
            </w:r>
          </w:p>
        </w:tc>
        <w:tc>
          <w:tcPr>
            <w:tcW w:w="1200" w:type="dxa"/>
            <w:tcBorders>
              <w:top w:val="nil"/>
              <w:left w:val="nil"/>
              <w:bottom w:val="single" w:sz="4" w:space="0" w:color="auto"/>
              <w:right w:val="single" w:sz="4" w:space="0" w:color="auto"/>
            </w:tcBorders>
            <w:shd w:val="clear" w:color="000000" w:fill="0070C0"/>
            <w:vAlign w:val="bottom"/>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Aumento</w:t>
            </w:r>
          </w:p>
        </w:tc>
        <w:tc>
          <w:tcPr>
            <w:tcW w:w="1200" w:type="dxa"/>
            <w:tcBorders>
              <w:top w:val="nil"/>
              <w:left w:val="nil"/>
              <w:bottom w:val="single" w:sz="4" w:space="0" w:color="auto"/>
              <w:right w:val="single" w:sz="4" w:space="0" w:color="auto"/>
            </w:tcBorders>
            <w:shd w:val="clear" w:color="000000" w:fill="0070C0"/>
            <w:vAlign w:val="bottom"/>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 xml:space="preserve">Total </w:t>
            </w:r>
          </w:p>
        </w:tc>
        <w:tc>
          <w:tcPr>
            <w:tcW w:w="1200" w:type="dxa"/>
            <w:tcBorders>
              <w:top w:val="nil"/>
              <w:left w:val="nil"/>
              <w:bottom w:val="single" w:sz="4" w:space="0" w:color="auto"/>
              <w:right w:val="single" w:sz="4" w:space="0" w:color="auto"/>
            </w:tcBorders>
            <w:shd w:val="clear" w:color="000000" w:fill="0070C0"/>
            <w:vAlign w:val="bottom"/>
            <w:hideMark/>
          </w:tcPr>
          <w:p w:rsidR="00D841F1" w:rsidRPr="00D841F1" w:rsidRDefault="00D841F1" w:rsidP="00D841F1">
            <w:pPr>
              <w:ind w:firstLine="0"/>
              <w:jc w:val="center"/>
              <w:rPr>
                <w:rFonts w:ascii="Calibri" w:eastAsia="Times New Roman" w:hAnsi="Calibri" w:cs="Calibri"/>
                <w:color w:val="FFFFFF"/>
                <w:sz w:val="20"/>
                <w:szCs w:val="20"/>
                <w:lang w:val="es-ES" w:eastAsia="es-ES"/>
              </w:rPr>
            </w:pPr>
            <w:r w:rsidRPr="00D841F1">
              <w:rPr>
                <w:rFonts w:ascii="Calibri" w:eastAsia="Times New Roman" w:hAnsi="Calibri" w:cs="Calibri"/>
                <w:color w:val="FFFFFF"/>
                <w:sz w:val="20"/>
                <w:szCs w:val="20"/>
                <w:lang w:val="es-ES" w:eastAsia="es-ES"/>
              </w:rPr>
              <w:t>Aumento</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841F1" w:rsidRPr="00D841F1" w:rsidRDefault="00D841F1" w:rsidP="00D841F1">
            <w:pPr>
              <w:ind w:firstLine="0"/>
              <w:jc w:val="left"/>
              <w:rPr>
                <w:rFonts w:ascii="Calibri" w:eastAsia="Times New Roman" w:hAnsi="Calibri" w:cs="Calibri"/>
                <w:color w:val="FFFFFF"/>
                <w:sz w:val="20"/>
                <w:szCs w:val="20"/>
                <w:lang w:val="es-ES" w:eastAsia="es-ES"/>
              </w:rPr>
            </w:pPr>
          </w:p>
        </w:tc>
      </w:tr>
      <w:tr w:rsidR="00D841F1" w:rsidRPr="00D841F1" w:rsidTr="000344C9">
        <w:trPr>
          <w:trHeight w:val="255"/>
          <w:jc w:val="cent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dic-19</w:t>
            </w:r>
          </w:p>
        </w:tc>
        <w:tc>
          <w:tcPr>
            <w:tcW w:w="194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162.979,8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14.952,9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14.952,9 </w:t>
            </w:r>
          </w:p>
        </w:tc>
      </w:tr>
      <w:tr w:rsidR="00D841F1" w:rsidRPr="00D841F1" w:rsidTr="000344C9">
        <w:trPr>
          <w:trHeight w:val="255"/>
          <w:jc w:val="cent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ene-20</w:t>
            </w:r>
          </w:p>
        </w:tc>
        <w:tc>
          <w:tcPr>
            <w:tcW w:w="194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162.979,8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14.952,9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14.952,9 </w:t>
            </w:r>
          </w:p>
        </w:tc>
      </w:tr>
      <w:tr w:rsidR="00D841F1" w:rsidRPr="00D841F1" w:rsidTr="000344C9">
        <w:trPr>
          <w:trHeight w:val="255"/>
          <w:jc w:val="cent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feb-20</w:t>
            </w:r>
          </w:p>
        </w:tc>
        <w:tc>
          <w:tcPr>
            <w:tcW w:w="194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148.026,8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c>
          <w:tcPr>
            <w:tcW w:w="1200" w:type="dxa"/>
            <w:tcBorders>
              <w:top w:val="nil"/>
              <w:left w:val="nil"/>
              <w:bottom w:val="single" w:sz="4" w:space="0" w:color="auto"/>
              <w:right w:val="single" w:sz="4" w:space="0" w:color="auto"/>
            </w:tcBorders>
            <w:shd w:val="clear" w:color="000000" w:fill="BFBFBF"/>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w:t>
            </w:r>
          </w:p>
        </w:tc>
      </w:tr>
      <w:tr w:rsidR="00D841F1" w:rsidRPr="00D841F1" w:rsidTr="000344C9">
        <w:trPr>
          <w:trHeight w:val="255"/>
          <w:jc w:val="cent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mar-20</w:t>
            </w:r>
          </w:p>
        </w:tc>
        <w:tc>
          <w:tcPr>
            <w:tcW w:w="194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161.716,1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13.689,3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165.138,7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17.111,9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3.422,6 </w:t>
            </w:r>
          </w:p>
        </w:tc>
      </w:tr>
      <w:tr w:rsidR="00D841F1" w:rsidRPr="00D841F1" w:rsidTr="000344C9">
        <w:trPr>
          <w:trHeight w:val="255"/>
          <w:jc w:val="cent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abr-20</w:t>
            </w:r>
          </w:p>
        </w:tc>
        <w:tc>
          <w:tcPr>
            <w:tcW w:w="194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161.716,1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13.689,3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165.138,7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17.111,9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3.422,6 </w:t>
            </w:r>
          </w:p>
        </w:tc>
      </w:tr>
      <w:tr w:rsidR="00D841F1" w:rsidRPr="00D841F1" w:rsidTr="000344C9">
        <w:trPr>
          <w:trHeight w:val="255"/>
          <w:jc w:val="center"/>
        </w:trPr>
        <w:tc>
          <w:tcPr>
            <w:tcW w:w="1360" w:type="dxa"/>
            <w:tcBorders>
              <w:top w:val="nil"/>
              <w:left w:val="single" w:sz="4" w:space="0" w:color="auto"/>
              <w:bottom w:val="single" w:sz="4" w:space="0" w:color="auto"/>
              <w:right w:val="single" w:sz="4" w:space="0" w:color="auto"/>
            </w:tcBorders>
            <w:shd w:val="clear" w:color="000000" w:fill="FFFFFF"/>
            <w:noWrap/>
            <w:vAlign w:val="center"/>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may-20</w:t>
            </w:r>
          </w:p>
        </w:tc>
        <w:tc>
          <w:tcPr>
            <w:tcW w:w="194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161.716,1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13.689,3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165.138,7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    17.111,9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color w:val="000000"/>
                <w:sz w:val="20"/>
                <w:szCs w:val="20"/>
                <w:lang w:val="es-ES" w:eastAsia="es-ES"/>
              </w:rPr>
            </w:pPr>
            <w:r w:rsidRPr="00D841F1">
              <w:rPr>
                <w:rFonts w:ascii="Calibri" w:eastAsia="Times New Roman" w:hAnsi="Calibri" w:cs="Calibri"/>
                <w:color w:val="000000"/>
                <w:sz w:val="20"/>
                <w:szCs w:val="20"/>
                <w:lang w:val="es-ES" w:eastAsia="es-ES"/>
              </w:rPr>
              <w:t xml:space="preserve">-$      3.422,6 </w:t>
            </w:r>
          </w:p>
        </w:tc>
      </w:tr>
      <w:tr w:rsidR="00D841F1" w:rsidRPr="00D841F1" w:rsidTr="000344C9">
        <w:trPr>
          <w:trHeight w:val="255"/>
          <w:jc w:val="center"/>
        </w:trPr>
        <w:tc>
          <w:tcPr>
            <w:tcW w:w="6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b/>
                <w:bCs/>
                <w:color w:val="000000"/>
                <w:sz w:val="20"/>
                <w:szCs w:val="20"/>
                <w:lang w:val="es-ES" w:eastAsia="es-ES"/>
              </w:rPr>
            </w:pPr>
            <w:r w:rsidRPr="00D841F1">
              <w:rPr>
                <w:rFonts w:ascii="Calibri" w:eastAsia="Times New Roman" w:hAnsi="Calibri" w:cs="Calibri"/>
                <w:b/>
                <w:bCs/>
                <w:color w:val="000000"/>
                <w:sz w:val="20"/>
                <w:szCs w:val="20"/>
                <w:lang w:val="es-ES" w:eastAsia="es-ES"/>
              </w:rPr>
              <w:t>Ahorro trimestral por suspensión de fórmula de movilidad</w:t>
            </w:r>
            <w:r w:rsidR="000344C9">
              <w:rPr>
                <w:rFonts w:ascii="Calibri" w:eastAsia="Times New Roman" w:hAnsi="Calibri" w:cs="Calibri"/>
                <w:b/>
                <w:bCs/>
                <w:color w:val="000000"/>
                <w:sz w:val="20"/>
                <w:szCs w:val="20"/>
                <w:lang w:val="es-ES" w:eastAsia="es-ES"/>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b/>
                <w:bCs/>
                <w:color w:val="000000"/>
                <w:sz w:val="20"/>
                <w:szCs w:val="20"/>
                <w:lang w:val="es-ES" w:eastAsia="es-ES"/>
              </w:rPr>
            </w:pPr>
            <w:r w:rsidRPr="00D841F1">
              <w:rPr>
                <w:rFonts w:ascii="Calibri" w:eastAsia="Times New Roman" w:hAnsi="Calibri" w:cs="Calibri"/>
                <w:b/>
                <w:bCs/>
                <w:color w:val="000000"/>
                <w:sz w:val="20"/>
                <w:szCs w:val="20"/>
                <w:lang w:val="es-ES" w:eastAsia="es-ES"/>
              </w:rPr>
              <w:t xml:space="preserve">-$    10.267,8 </w:t>
            </w:r>
          </w:p>
        </w:tc>
      </w:tr>
      <w:tr w:rsidR="00D841F1" w:rsidRPr="00D841F1" w:rsidTr="000344C9">
        <w:trPr>
          <w:trHeight w:val="255"/>
          <w:jc w:val="center"/>
        </w:trPr>
        <w:tc>
          <w:tcPr>
            <w:tcW w:w="6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b/>
                <w:bCs/>
                <w:color w:val="000000"/>
                <w:sz w:val="20"/>
                <w:szCs w:val="20"/>
                <w:lang w:val="es-ES" w:eastAsia="es-ES"/>
              </w:rPr>
            </w:pPr>
            <w:r w:rsidRPr="00D841F1">
              <w:rPr>
                <w:rFonts w:ascii="Calibri" w:eastAsia="Times New Roman" w:hAnsi="Calibri" w:cs="Calibri"/>
                <w:b/>
                <w:bCs/>
                <w:color w:val="000000"/>
                <w:sz w:val="20"/>
                <w:szCs w:val="20"/>
                <w:lang w:val="es-ES" w:eastAsia="es-ES"/>
              </w:rPr>
              <w:t>TOTAL invertido - Ahorro por cambio suspensión de fórmula</w:t>
            </w:r>
          </w:p>
        </w:tc>
        <w:tc>
          <w:tcPr>
            <w:tcW w:w="1200" w:type="dxa"/>
            <w:tcBorders>
              <w:top w:val="nil"/>
              <w:left w:val="nil"/>
              <w:bottom w:val="single" w:sz="4" w:space="0" w:color="auto"/>
              <w:right w:val="single" w:sz="4" w:space="0" w:color="auto"/>
            </w:tcBorders>
            <w:shd w:val="clear" w:color="auto" w:fill="auto"/>
            <w:noWrap/>
            <w:vAlign w:val="bottom"/>
            <w:hideMark/>
          </w:tcPr>
          <w:p w:rsidR="00D841F1" w:rsidRPr="00D841F1" w:rsidRDefault="00D841F1" w:rsidP="00D841F1">
            <w:pPr>
              <w:ind w:firstLine="0"/>
              <w:jc w:val="center"/>
              <w:rPr>
                <w:rFonts w:ascii="Calibri" w:eastAsia="Times New Roman" w:hAnsi="Calibri" w:cs="Calibri"/>
                <w:b/>
                <w:bCs/>
                <w:color w:val="000000"/>
                <w:sz w:val="20"/>
                <w:szCs w:val="20"/>
                <w:lang w:val="es-ES" w:eastAsia="es-ES"/>
              </w:rPr>
            </w:pPr>
            <w:r w:rsidRPr="00D841F1">
              <w:rPr>
                <w:rFonts w:ascii="Calibri" w:eastAsia="Times New Roman" w:hAnsi="Calibri" w:cs="Calibri"/>
                <w:b/>
                <w:bCs/>
                <w:color w:val="000000"/>
                <w:sz w:val="20"/>
                <w:szCs w:val="20"/>
                <w:lang w:val="es-ES" w:eastAsia="es-ES"/>
              </w:rPr>
              <w:t xml:space="preserve"> $    19.638,1 </w:t>
            </w:r>
          </w:p>
        </w:tc>
      </w:tr>
    </w:tbl>
    <w:p w:rsidR="000344C9" w:rsidRPr="000344C9" w:rsidRDefault="000344C9" w:rsidP="000344C9">
      <w:pPr>
        <w:pStyle w:val="Prrafodelista"/>
        <w:jc w:val="center"/>
        <w:rPr>
          <w:b/>
          <w:sz w:val="20"/>
        </w:rPr>
      </w:pPr>
      <w:r w:rsidRPr="000344C9">
        <w:rPr>
          <w:b/>
          <w:sz w:val="20"/>
        </w:rPr>
        <w:t>Fuente: Elaboración propia en base a Anses y BESS.</w:t>
      </w:r>
    </w:p>
    <w:p w:rsidR="00BF3D9D" w:rsidRPr="006C5D0A" w:rsidRDefault="000344C9" w:rsidP="00BF3D9D">
      <w:pPr>
        <w:pStyle w:val="Prrafodelista"/>
      </w:pPr>
      <w:r w:rsidRPr="000344C9">
        <w:rPr>
          <w:i/>
          <w:sz w:val="20"/>
        </w:rPr>
        <w:t>(*)N</w:t>
      </w:r>
      <w:r w:rsidRPr="006C5D0A">
        <w:rPr>
          <w:i/>
          <w:sz w:val="20"/>
        </w:rPr>
        <w:t xml:space="preserve">ota: </w:t>
      </w:r>
      <w:r w:rsidR="00BF3D9D" w:rsidRPr="006C5D0A">
        <w:t>El efecto fiscal aquí considerado no considera a las PNC y la PUAM</w:t>
      </w:r>
    </w:p>
    <w:p w:rsidR="00D94792" w:rsidRPr="000344C9" w:rsidRDefault="00D94792" w:rsidP="000344C9">
      <w:pPr>
        <w:pStyle w:val="Prrafodelista"/>
        <w:rPr>
          <w:i/>
          <w:sz w:val="20"/>
        </w:rPr>
      </w:pPr>
    </w:p>
    <w:p w:rsidR="00B94D37" w:rsidRDefault="00B94D37" w:rsidP="006E30B7">
      <w:pPr>
        <w:pStyle w:val="Prrafodelista"/>
        <w:ind w:left="417" w:firstLine="0"/>
      </w:pPr>
    </w:p>
    <w:p w:rsidR="00BF3D9D" w:rsidRDefault="00BF3D9D" w:rsidP="00BF3D9D">
      <w:pPr>
        <w:pStyle w:val="Prrafodelista"/>
        <w:ind w:left="417" w:firstLine="0"/>
      </w:pPr>
      <w:r>
        <w:t xml:space="preserve">Dos consideraciones más que resultan también importantes de abordar respecto a la medida dispuesta pero vinculadas a los enunciados realizados por los funcionarios que acompañaron el anuncio. </w:t>
      </w:r>
    </w:p>
    <w:p w:rsidR="00BF3D9D" w:rsidRDefault="00BF3D9D" w:rsidP="00BF3D9D">
      <w:pPr>
        <w:pStyle w:val="Prrafodelista"/>
      </w:pPr>
    </w:p>
    <w:p w:rsidR="00BF3D9D" w:rsidRDefault="00BF3D9D" w:rsidP="00BF3D9D">
      <w:pPr>
        <w:pStyle w:val="Prrafodelista"/>
        <w:numPr>
          <w:ilvl w:val="0"/>
          <w:numId w:val="2"/>
        </w:numPr>
      </w:pPr>
      <w:r>
        <w:t xml:space="preserve">Se dijo que el 75% de los beneficios aumentará igual o más de un 11,56%. Este número está compuesto por programas de naturaleza distinta (pensiones no contributivas y el sistema previsional) y como el dominante es el esquema de jubilaciones y pensiones resulta común que se simplifique y se concluya que el 75% de los jubilados y pensionados serán sujetos de ese trato. Para ser precisos, los beneficios previsionales que recibirán incrementos iguales o superiores a lo que preveía la fórmula son el 68,7% del total de beneficios previsionales puestos al pago (compuesto por el 64% en el haber mínimo que recibirá el 13% y una franja de 341 mil adultos mayores que superan la mínima pero el incremento representa entre el 11,56% a 13% de sus ingresos). Si incorporamos a las prestaciones sociales que atienden bajo otro esquema otras contingencias sociales como la pobreza por invalidez o por familia numerosa, cubiertas en el sistema de seguridad social a través de las pensiones no contributivas, la proporción sí alcanza el 74,5%.  De esta manera, 2,1 millones de jubilaciones (el 31,3%) tendrán un trato desfavorable, aumentos por debajo de la fórmula suspendida. </w:t>
      </w:r>
    </w:p>
    <w:p w:rsidR="00BF3D9D" w:rsidRDefault="00BF3D9D" w:rsidP="00BF3D9D">
      <w:pPr>
        <w:pStyle w:val="Prrafodelista"/>
        <w:ind w:left="777"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3C7135" w:rsidRDefault="003C7135" w:rsidP="003C7135">
      <w:pPr>
        <w:ind w:firstLine="0"/>
      </w:pPr>
    </w:p>
    <w:p w:rsidR="00B14874" w:rsidRDefault="00B14874" w:rsidP="003C7135">
      <w:pPr>
        <w:ind w:firstLine="0"/>
      </w:pPr>
    </w:p>
    <w:p w:rsidR="00B14874" w:rsidRDefault="00B14874" w:rsidP="003C7135">
      <w:pPr>
        <w:ind w:firstLine="0"/>
      </w:pPr>
    </w:p>
    <w:p w:rsidR="003C7135" w:rsidRDefault="003C7135" w:rsidP="003C7135">
      <w:pPr>
        <w:ind w:firstLine="0"/>
      </w:pPr>
    </w:p>
    <w:p w:rsidR="003C7135" w:rsidRDefault="003C7135" w:rsidP="003C7135">
      <w:pPr>
        <w:ind w:firstLine="0"/>
      </w:pPr>
    </w:p>
    <w:p w:rsidR="00BF3D9D" w:rsidRPr="00B14874" w:rsidRDefault="00BF3D9D" w:rsidP="003C7135">
      <w:pPr>
        <w:ind w:firstLine="0"/>
        <w:rPr>
          <w:b/>
          <w:sz w:val="20"/>
        </w:rPr>
      </w:pPr>
      <w:r w:rsidRPr="00B14874">
        <w:rPr>
          <w:b/>
          <w:sz w:val="20"/>
        </w:rPr>
        <w:t>Beneficios de la Seguridad Social con incrementos mayores o iguales a la fórmula derogada.</w:t>
      </w:r>
    </w:p>
    <w:tbl>
      <w:tblPr>
        <w:tblW w:w="5344" w:type="dxa"/>
        <w:jc w:val="center"/>
        <w:tblInd w:w="55" w:type="dxa"/>
        <w:tblCellMar>
          <w:left w:w="70" w:type="dxa"/>
          <w:right w:w="70" w:type="dxa"/>
        </w:tblCellMar>
        <w:tblLook w:val="04A0" w:firstRow="1" w:lastRow="0" w:firstColumn="1" w:lastColumn="0" w:noHBand="0" w:noVBand="1"/>
      </w:tblPr>
      <w:tblGrid>
        <w:gridCol w:w="3233"/>
        <w:gridCol w:w="1081"/>
        <w:gridCol w:w="1030"/>
      </w:tblGrid>
      <w:tr w:rsidR="00BF3D9D" w:rsidRPr="00135BAE" w:rsidTr="009F4EBF">
        <w:trPr>
          <w:trHeight w:val="328"/>
          <w:jc w:val="center"/>
        </w:trPr>
        <w:tc>
          <w:tcPr>
            <w:tcW w:w="3233"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BF3D9D" w:rsidRPr="00135BAE" w:rsidRDefault="00BF3D9D" w:rsidP="009F4EBF">
            <w:pPr>
              <w:jc w:val="center"/>
              <w:rPr>
                <w:rFonts w:ascii="Calibri" w:eastAsia="Times New Roman" w:hAnsi="Calibri" w:cs="Times New Roman"/>
                <w:b/>
                <w:bCs/>
                <w:color w:val="FFFFFF"/>
                <w:sz w:val="20"/>
                <w:szCs w:val="20"/>
                <w:lang w:val="es-ES" w:eastAsia="es-ES"/>
              </w:rPr>
            </w:pPr>
            <w:r w:rsidRPr="00135BAE">
              <w:rPr>
                <w:rFonts w:ascii="Calibri" w:eastAsia="Times New Roman" w:hAnsi="Calibri" w:cs="Times New Roman"/>
                <w:b/>
                <w:bCs/>
                <w:color w:val="FFFFFF"/>
                <w:sz w:val="20"/>
                <w:szCs w:val="20"/>
                <w:lang w:val="es-ES" w:eastAsia="es-ES"/>
              </w:rPr>
              <w:t>Beneficio</w:t>
            </w:r>
            <w:r>
              <w:rPr>
                <w:rFonts w:ascii="Calibri" w:eastAsia="Times New Roman" w:hAnsi="Calibri" w:cs="Times New Roman"/>
                <w:b/>
                <w:bCs/>
                <w:color w:val="FFFFFF"/>
                <w:sz w:val="20"/>
                <w:szCs w:val="20"/>
                <w:lang w:val="es-ES" w:eastAsia="es-ES"/>
              </w:rPr>
              <w:t>s</w:t>
            </w:r>
            <w:r w:rsidRPr="00135BAE">
              <w:rPr>
                <w:rFonts w:ascii="Calibri" w:eastAsia="Times New Roman" w:hAnsi="Calibri" w:cs="Times New Roman"/>
                <w:b/>
                <w:bCs/>
                <w:color w:val="FFFFFF"/>
                <w:sz w:val="20"/>
                <w:szCs w:val="20"/>
                <w:lang w:val="es-ES" w:eastAsia="es-ES"/>
              </w:rPr>
              <w:t xml:space="preserve"> de la Seguridad Social</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BF3D9D" w:rsidRPr="00135BAE" w:rsidRDefault="00BF3D9D" w:rsidP="009F4EBF">
            <w:pPr>
              <w:jc w:val="center"/>
              <w:rPr>
                <w:rFonts w:ascii="Calibri" w:eastAsia="Times New Roman" w:hAnsi="Calibri" w:cs="Times New Roman"/>
                <w:b/>
                <w:bCs/>
                <w:color w:val="FFFFFF"/>
                <w:sz w:val="20"/>
                <w:szCs w:val="20"/>
                <w:lang w:val="es-ES" w:eastAsia="es-ES"/>
              </w:rPr>
            </w:pPr>
            <w:r w:rsidRPr="00135BAE">
              <w:rPr>
                <w:rFonts w:ascii="Calibri" w:eastAsia="Times New Roman" w:hAnsi="Calibri" w:cs="Times New Roman"/>
                <w:b/>
                <w:bCs/>
                <w:color w:val="FFFFFF"/>
                <w:sz w:val="20"/>
                <w:szCs w:val="20"/>
                <w:lang w:val="es-ES" w:eastAsia="es-ES"/>
              </w:rPr>
              <w:t>Cantidad</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rsidR="00BF3D9D" w:rsidRPr="00135BAE" w:rsidRDefault="00BF3D9D" w:rsidP="009F4EBF">
            <w:pPr>
              <w:jc w:val="center"/>
              <w:rPr>
                <w:rFonts w:ascii="Calibri" w:eastAsia="Times New Roman" w:hAnsi="Calibri" w:cs="Times New Roman"/>
                <w:b/>
                <w:bCs/>
                <w:color w:val="FFFFFF"/>
                <w:sz w:val="20"/>
                <w:szCs w:val="20"/>
                <w:lang w:val="es-ES" w:eastAsia="es-ES"/>
              </w:rPr>
            </w:pPr>
            <w:r w:rsidRPr="00135BAE">
              <w:rPr>
                <w:rFonts w:ascii="Calibri" w:eastAsia="Times New Roman" w:hAnsi="Calibri" w:cs="Times New Roman"/>
                <w:b/>
                <w:bCs/>
                <w:color w:val="FFFFFF"/>
                <w:sz w:val="20"/>
                <w:szCs w:val="20"/>
                <w:lang w:val="es-ES" w:eastAsia="es-ES"/>
              </w:rPr>
              <w:t>%</w:t>
            </w:r>
            <w:r>
              <w:rPr>
                <w:rFonts w:ascii="Calibri" w:eastAsia="Times New Roman" w:hAnsi="Calibri" w:cs="Times New Roman"/>
                <w:b/>
                <w:bCs/>
                <w:color w:val="FFFFFF"/>
                <w:sz w:val="20"/>
                <w:szCs w:val="20"/>
                <w:lang w:val="es-ES" w:eastAsia="es-ES"/>
              </w:rPr>
              <w:t xml:space="preserve"> respecto a su grupo</w:t>
            </w:r>
          </w:p>
        </w:tc>
      </w:tr>
      <w:tr w:rsidR="00BF3D9D" w:rsidRPr="00135BAE" w:rsidTr="009F4EBF">
        <w:trPr>
          <w:trHeight w:val="311"/>
          <w:jc w:val="center"/>
        </w:trPr>
        <w:tc>
          <w:tcPr>
            <w:tcW w:w="3233" w:type="dxa"/>
            <w:vMerge/>
            <w:tcBorders>
              <w:top w:val="single" w:sz="4" w:space="0" w:color="auto"/>
              <w:left w:val="single" w:sz="4" w:space="0" w:color="auto"/>
              <w:bottom w:val="single" w:sz="4" w:space="0" w:color="auto"/>
              <w:right w:val="single" w:sz="4" w:space="0" w:color="auto"/>
            </w:tcBorders>
            <w:vAlign w:val="center"/>
            <w:hideMark/>
          </w:tcPr>
          <w:p w:rsidR="00BF3D9D" w:rsidRPr="00135BAE" w:rsidRDefault="00BF3D9D" w:rsidP="009F4EBF">
            <w:pPr>
              <w:rPr>
                <w:rFonts w:ascii="Calibri" w:eastAsia="Times New Roman" w:hAnsi="Calibri" w:cs="Times New Roman"/>
                <w:b/>
                <w:bCs/>
                <w:color w:val="FFFFFF"/>
                <w:sz w:val="20"/>
                <w:szCs w:val="20"/>
                <w:lang w:val="es-ES" w:eastAsia="es-ES"/>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F3D9D" w:rsidRPr="00135BAE" w:rsidRDefault="00BF3D9D" w:rsidP="009F4EBF">
            <w:pPr>
              <w:rPr>
                <w:rFonts w:ascii="Calibri" w:eastAsia="Times New Roman" w:hAnsi="Calibri" w:cs="Times New Roman"/>
                <w:b/>
                <w:bCs/>
                <w:color w:val="FFFFFF"/>
                <w:sz w:val="20"/>
                <w:szCs w:val="20"/>
                <w:lang w:val="es-ES" w:eastAsia="es-ES"/>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F3D9D" w:rsidRPr="00135BAE" w:rsidRDefault="00BF3D9D" w:rsidP="009F4EBF">
            <w:pPr>
              <w:rPr>
                <w:rFonts w:ascii="Calibri" w:eastAsia="Times New Roman" w:hAnsi="Calibri" w:cs="Times New Roman"/>
                <w:b/>
                <w:bCs/>
                <w:color w:val="FFFFFF"/>
                <w:sz w:val="20"/>
                <w:szCs w:val="20"/>
                <w:lang w:val="es-ES" w:eastAsia="es-ES"/>
              </w:rPr>
            </w:pPr>
          </w:p>
        </w:tc>
      </w:tr>
      <w:tr w:rsidR="00BF3D9D" w:rsidRPr="00135BAE" w:rsidTr="009F4EBF">
        <w:trPr>
          <w:trHeight w:val="328"/>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 xml:space="preserve">Jubilaciones y Pensiones </w:t>
            </w:r>
            <w:r>
              <w:rPr>
                <w:rFonts w:ascii="Calibri" w:eastAsia="Times New Roman" w:hAnsi="Calibri" w:cs="Times New Roman"/>
                <w:color w:val="000000"/>
                <w:sz w:val="20"/>
                <w:szCs w:val="20"/>
                <w:lang w:val="es-ES" w:eastAsia="es-ES"/>
              </w:rPr>
              <w:t xml:space="preserve"> que reciben mejor trato</w:t>
            </w:r>
          </w:p>
        </w:tc>
        <w:tc>
          <w:tcPr>
            <w:tcW w:w="1081"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4.713.252</w:t>
            </w:r>
          </w:p>
        </w:tc>
        <w:tc>
          <w:tcPr>
            <w:tcW w:w="1030"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68,7%</w:t>
            </w:r>
          </w:p>
        </w:tc>
      </w:tr>
      <w:tr w:rsidR="00BF3D9D" w:rsidRPr="00135BAE" w:rsidTr="009F4EBF">
        <w:trPr>
          <w:trHeight w:val="328"/>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Pensiones por invalidez</w:t>
            </w:r>
          </w:p>
        </w:tc>
        <w:tc>
          <w:tcPr>
            <w:tcW w:w="1081"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1.042.943</w:t>
            </w:r>
          </w:p>
        </w:tc>
        <w:tc>
          <w:tcPr>
            <w:tcW w:w="1030"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100,0%</w:t>
            </w:r>
          </w:p>
        </w:tc>
      </w:tr>
      <w:tr w:rsidR="00BF3D9D" w:rsidRPr="00135BAE" w:rsidTr="009F4EBF">
        <w:trPr>
          <w:trHeight w:val="328"/>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PNC</w:t>
            </w:r>
            <w:r>
              <w:rPr>
                <w:rFonts w:ascii="Calibri" w:eastAsia="Times New Roman" w:hAnsi="Calibri" w:cs="Times New Roman"/>
                <w:color w:val="000000"/>
                <w:sz w:val="20"/>
                <w:szCs w:val="20"/>
                <w:lang w:val="es-ES" w:eastAsia="es-ES"/>
              </w:rPr>
              <w:t xml:space="preserve"> (madre de 7 hijos, vejez, otras)</w:t>
            </w:r>
          </w:p>
        </w:tc>
        <w:tc>
          <w:tcPr>
            <w:tcW w:w="1081"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372.552</w:t>
            </w:r>
          </w:p>
        </w:tc>
        <w:tc>
          <w:tcPr>
            <w:tcW w:w="1030"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100,0%</w:t>
            </w:r>
          </w:p>
        </w:tc>
      </w:tr>
      <w:tr w:rsidR="00BF3D9D" w:rsidRPr="00135BAE" w:rsidTr="009F4EBF">
        <w:trPr>
          <w:trHeight w:val="328"/>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PUAM</w:t>
            </w:r>
          </w:p>
        </w:tc>
        <w:tc>
          <w:tcPr>
            <w:tcW w:w="1081"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135.562</w:t>
            </w:r>
          </w:p>
        </w:tc>
        <w:tc>
          <w:tcPr>
            <w:tcW w:w="1030"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100,0%</w:t>
            </w:r>
          </w:p>
        </w:tc>
      </w:tr>
      <w:tr w:rsidR="00BF3D9D" w:rsidRPr="00135BAE" w:rsidTr="009F4EBF">
        <w:trPr>
          <w:trHeight w:val="557"/>
          <w:jc w:val="center"/>
        </w:trPr>
        <w:tc>
          <w:tcPr>
            <w:tcW w:w="3233" w:type="dxa"/>
            <w:tcBorders>
              <w:top w:val="nil"/>
              <w:left w:val="single" w:sz="4" w:space="0" w:color="auto"/>
              <w:bottom w:val="single" w:sz="4" w:space="0" w:color="auto"/>
              <w:right w:val="single" w:sz="4" w:space="0" w:color="auto"/>
            </w:tcBorders>
            <w:shd w:val="clear" w:color="auto" w:fill="auto"/>
            <w:vAlign w:val="center"/>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Beneficios</w:t>
            </w:r>
            <w:r>
              <w:rPr>
                <w:rFonts w:ascii="Calibri" w:eastAsia="Times New Roman" w:hAnsi="Calibri" w:cs="Times New Roman"/>
                <w:b/>
                <w:bCs/>
                <w:color w:val="000000"/>
                <w:sz w:val="20"/>
                <w:szCs w:val="20"/>
                <w:lang w:val="es-ES" w:eastAsia="es-ES"/>
              </w:rPr>
              <w:t xml:space="preserve"> totales</w:t>
            </w:r>
            <w:r w:rsidRPr="00135BAE">
              <w:rPr>
                <w:rFonts w:ascii="Calibri" w:eastAsia="Times New Roman" w:hAnsi="Calibri" w:cs="Times New Roman"/>
                <w:b/>
                <w:bCs/>
                <w:color w:val="000000"/>
                <w:sz w:val="20"/>
                <w:szCs w:val="20"/>
                <w:lang w:val="es-ES" w:eastAsia="es-ES"/>
              </w:rPr>
              <w:t xml:space="preserve"> con incrementos mayores o iguales a la Fórmula </w:t>
            </w:r>
            <w:r>
              <w:rPr>
                <w:rFonts w:ascii="Calibri" w:eastAsia="Times New Roman" w:hAnsi="Calibri" w:cs="Times New Roman"/>
                <w:b/>
                <w:bCs/>
                <w:color w:val="000000"/>
                <w:sz w:val="20"/>
                <w:szCs w:val="20"/>
                <w:lang w:val="es-ES" w:eastAsia="es-ES"/>
              </w:rPr>
              <w:t>suspendida</w:t>
            </w:r>
          </w:p>
        </w:tc>
        <w:tc>
          <w:tcPr>
            <w:tcW w:w="1081" w:type="dxa"/>
            <w:tcBorders>
              <w:top w:val="nil"/>
              <w:left w:val="nil"/>
              <w:bottom w:val="single" w:sz="4" w:space="0" w:color="auto"/>
              <w:right w:val="single" w:sz="4" w:space="0" w:color="auto"/>
            </w:tcBorders>
            <w:shd w:val="clear" w:color="auto" w:fill="auto"/>
            <w:noWrap/>
            <w:vAlign w:val="center"/>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6.264.309</w:t>
            </w:r>
          </w:p>
        </w:tc>
        <w:tc>
          <w:tcPr>
            <w:tcW w:w="1030" w:type="dxa"/>
            <w:tcBorders>
              <w:top w:val="nil"/>
              <w:left w:val="nil"/>
              <w:bottom w:val="single" w:sz="4" w:space="0" w:color="auto"/>
              <w:right w:val="single" w:sz="4" w:space="0" w:color="auto"/>
            </w:tcBorders>
            <w:shd w:val="clear" w:color="auto" w:fill="auto"/>
            <w:noWrap/>
            <w:vAlign w:val="center"/>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74,5%</w:t>
            </w:r>
          </w:p>
        </w:tc>
      </w:tr>
      <w:tr w:rsidR="00BF3D9D" w:rsidRPr="00135BAE" w:rsidTr="009F4EBF">
        <w:trPr>
          <w:trHeight w:val="557"/>
          <w:jc w:val="center"/>
        </w:trPr>
        <w:tc>
          <w:tcPr>
            <w:tcW w:w="3233" w:type="dxa"/>
            <w:tcBorders>
              <w:top w:val="nil"/>
              <w:left w:val="single" w:sz="4" w:space="0" w:color="auto"/>
              <w:bottom w:val="single" w:sz="4" w:space="0" w:color="auto"/>
              <w:right w:val="single" w:sz="4" w:space="0" w:color="auto"/>
            </w:tcBorders>
            <w:shd w:val="clear" w:color="auto" w:fill="auto"/>
            <w:vAlign w:val="center"/>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Beneficios</w:t>
            </w:r>
            <w:r>
              <w:rPr>
                <w:rFonts w:ascii="Calibri" w:eastAsia="Times New Roman" w:hAnsi="Calibri" w:cs="Times New Roman"/>
                <w:b/>
                <w:bCs/>
                <w:color w:val="000000"/>
                <w:sz w:val="20"/>
                <w:szCs w:val="20"/>
                <w:lang w:val="es-ES" w:eastAsia="es-ES"/>
              </w:rPr>
              <w:t xml:space="preserve"> jubilatorios</w:t>
            </w:r>
            <w:r w:rsidRPr="00135BAE">
              <w:rPr>
                <w:rFonts w:ascii="Calibri" w:eastAsia="Times New Roman" w:hAnsi="Calibri" w:cs="Times New Roman"/>
                <w:b/>
                <w:bCs/>
                <w:color w:val="000000"/>
                <w:sz w:val="20"/>
                <w:szCs w:val="20"/>
                <w:lang w:val="es-ES" w:eastAsia="es-ES"/>
              </w:rPr>
              <w:t xml:space="preserve"> con incrementos menores a la Fórmula </w:t>
            </w:r>
            <w:r>
              <w:rPr>
                <w:rFonts w:ascii="Calibri" w:eastAsia="Times New Roman" w:hAnsi="Calibri" w:cs="Times New Roman"/>
                <w:b/>
                <w:bCs/>
                <w:color w:val="000000"/>
                <w:sz w:val="20"/>
                <w:szCs w:val="20"/>
                <w:lang w:val="es-ES" w:eastAsia="es-ES"/>
              </w:rPr>
              <w:t>suspendida</w:t>
            </w:r>
          </w:p>
        </w:tc>
        <w:tc>
          <w:tcPr>
            <w:tcW w:w="1081" w:type="dxa"/>
            <w:tcBorders>
              <w:top w:val="nil"/>
              <w:left w:val="nil"/>
              <w:bottom w:val="single" w:sz="4" w:space="0" w:color="auto"/>
              <w:right w:val="single" w:sz="4" w:space="0" w:color="auto"/>
            </w:tcBorders>
            <w:shd w:val="clear" w:color="auto" w:fill="auto"/>
            <w:noWrap/>
            <w:vAlign w:val="center"/>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2.143.211</w:t>
            </w:r>
          </w:p>
        </w:tc>
        <w:tc>
          <w:tcPr>
            <w:tcW w:w="1030" w:type="dxa"/>
            <w:tcBorders>
              <w:top w:val="nil"/>
              <w:left w:val="nil"/>
              <w:bottom w:val="single" w:sz="4" w:space="0" w:color="auto"/>
              <w:right w:val="single" w:sz="4" w:space="0" w:color="auto"/>
            </w:tcBorders>
            <w:shd w:val="clear" w:color="auto" w:fill="auto"/>
            <w:noWrap/>
            <w:vAlign w:val="center"/>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31,3%</w:t>
            </w:r>
          </w:p>
        </w:tc>
      </w:tr>
      <w:tr w:rsidR="00BF3D9D" w:rsidRPr="00135BAE" w:rsidTr="009F4EBF">
        <w:trPr>
          <w:trHeight w:val="328"/>
          <w:jc w:val="center"/>
        </w:trPr>
        <w:tc>
          <w:tcPr>
            <w:tcW w:w="3233" w:type="dxa"/>
            <w:tcBorders>
              <w:top w:val="nil"/>
              <w:left w:val="single" w:sz="4" w:space="0" w:color="auto"/>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 xml:space="preserve">Total de Beneficios </w:t>
            </w:r>
          </w:p>
        </w:tc>
        <w:tc>
          <w:tcPr>
            <w:tcW w:w="1081"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8.407.520</w:t>
            </w:r>
          </w:p>
        </w:tc>
        <w:tc>
          <w:tcPr>
            <w:tcW w:w="1030" w:type="dxa"/>
            <w:tcBorders>
              <w:top w:val="nil"/>
              <w:left w:val="nil"/>
              <w:bottom w:val="single" w:sz="4" w:space="0" w:color="auto"/>
              <w:right w:val="single" w:sz="4" w:space="0" w:color="auto"/>
            </w:tcBorders>
            <w:shd w:val="clear" w:color="auto" w:fill="auto"/>
            <w:noWrap/>
            <w:vAlign w:val="bottom"/>
            <w:hideMark/>
          </w:tcPr>
          <w:p w:rsidR="00BF3D9D" w:rsidRPr="00135BAE" w:rsidRDefault="00BF3D9D" w:rsidP="009F4EBF">
            <w:pPr>
              <w:jc w:val="center"/>
              <w:rPr>
                <w:rFonts w:ascii="Calibri" w:eastAsia="Times New Roman" w:hAnsi="Calibri" w:cs="Times New Roman"/>
                <w:b/>
                <w:bCs/>
                <w:color w:val="000000"/>
                <w:sz w:val="20"/>
                <w:szCs w:val="20"/>
                <w:lang w:val="es-ES" w:eastAsia="es-ES"/>
              </w:rPr>
            </w:pPr>
            <w:r w:rsidRPr="00135BAE">
              <w:rPr>
                <w:rFonts w:ascii="Calibri" w:eastAsia="Times New Roman" w:hAnsi="Calibri" w:cs="Times New Roman"/>
                <w:b/>
                <w:bCs/>
                <w:color w:val="000000"/>
                <w:sz w:val="20"/>
                <w:szCs w:val="20"/>
                <w:lang w:val="es-ES" w:eastAsia="es-ES"/>
              </w:rPr>
              <w:t>100,0%</w:t>
            </w:r>
          </w:p>
        </w:tc>
      </w:tr>
    </w:tbl>
    <w:p w:rsidR="00BF3D9D" w:rsidRPr="00135BAE" w:rsidRDefault="00BF3D9D" w:rsidP="00BF3D9D">
      <w:pPr>
        <w:jc w:val="center"/>
        <w:rPr>
          <w:rFonts w:ascii="Calibri" w:eastAsia="Times New Roman" w:hAnsi="Calibri" w:cs="Times New Roman"/>
          <w:color w:val="000000"/>
          <w:sz w:val="20"/>
          <w:szCs w:val="20"/>
          <w:lang w:val="es-ES" w:eastAsia="es-ES"/>
        </w:rPr>
      </w:pPr>
      <w:r w:rsidRPr="00135BAE">
        <w:rPr>
          <w:rFonts w:ascii="Calibri" w:eastAsia="Times New Roman" w:hAnsi="Calibri" w:cs="Times New Roman"/>
          <w:color w:val="000000"/>
          <w:sz w:val="20"/>
          <w:szCs w:val="20"/>
          <w:lang w:val="es-ES" w:eastAsia="es-ES"/>
        </w:rPr>
        <w:t>Fuente: elaboración propia en base a datos de Anses y el BESS.</w:t>
      </w:r>
      <w:r>
        <w:rPr>
          <w:rFonts w:ascii="Calibri" w:eastAsia="Times New Roman" w:hAnsi="Calibri" w:cs="Times New Roman"/>
          <w:color w:val="000000"/>
          <w:sz w:val="20"/>
          <w:szCs w:val="20"/>
          <w:lang w:val="es-ES" w:eastAsia="es-ES"/>
        </w:rPr>
        <w:t xml:space="preserve"> </w:t>
      </w:r>
      <w:r w:rsidRPr="00135BAE">
        <w:rPr>
          <w:rFonts w:ascii="Calibri" w:eastAsia="Times New Roman" w:hAnsi="Calibri" w:cs="Times New Roman"/>
          <w:color w:val="000000"/>
          <w:sz w:val="20"/>
          <w:szCs w:val="20"/>
          <w:lang w:val="es-ES" w:eastAsia="es-ES"/>
        </w:rPr>
        <w:t>Nota: no se incluyen Asignaciones Familiares ni la</w:t>
      </w:r>
      <w:r>
        <w:rPr>
          <w:rFonts w:ascii="Calibri" w:eastAsia="Times New Roman" w:hAnsi="Calibri" w:cs="Times New Roman"/>
          <w:color w:val="000000"/>
          <w:sz w:val="20"/>
          <w:szCs w:val="20"/>
          <w:lang w:val="es-ES" w:eastAsia="es-ES"/>
        </w:rPr>
        <w:t>s</w:t>
      </w:r>
      <w:r w:rsidRPr="00135BAE">
        <w:rPr>
          <w:rFonts w:ascii="Calibri" w:eastAsia="Times New Roman" w:hAnsi="Calibri" w:cs="Times New Roman"/>
          <w:color w:val="000000"/>
          <w:sz w:val="20"/>
          <w:szCs w:val="20"/>
          <w:lang w:val="es-ES" w:eastAsia="es-ES"/>
        </w:rPr>
        <w:t xml:space="preserve"> AUH.</w:t>
      </w:r>
    </w:p>
    <w:p w:rsidR="00BF3D9D" w:rsidRDefault="00BF3D9D" w:rsidP="00BF3D9D">
      <w:pPr>
        <w:pStyle w:val="Prrafodelista"/>
        <w:ind w:left="777" w:firstLine="0"/>
      </w:pPr>
    </w:p>
    <w:p w:rsidR="00BF3D9D" w:rsidRDefault="00BF3D9D" w:rsidP="00BF3D9D">
      <w:pPr>
        <w:pStyle w:val="Prrafodelista"/>
        <w:numPr>
          <w:ilvl w:val="0"/>
          <w:numId w:val="2"/>
        </w:numPr>
      </w:pPr>
      <w:r>
        <w:t>Por otro lado, a propósito de la fórmula de movilidad que durante la gestión macrista había arrojado sistemáticos recortes de los haberes, el titular de ANSES destacó la necesidad de volver a atar la evolución de los haberes a la recaudación (tal cual lo hacía la movilidad hasta la reforma del año 2017). Algunas consideraciones al respecto. Por un lado, el principal problema de la fórmula de movilidad macrista no estaba vinculado a los componentes de la fórmula en sí</w:t>
      </w:r>
      <w:r w:rsidR="00E95C53">
        <w:t>,</w:t>
      </w:r>
      <w:r>
        <w:t xml:space="preserve"> que </w:t>
      </w:r>
      <w:r w:rsidR="00E95C53">
        <w:t>son</w:t>
      </w:r>
      <w:r>
        <w:t xml:space="preserve"> la inflación y los salarios (que combina el objetivo de sostener el poder adquisitivo y la tasa de sustitución)</w:t>
      </w:r>
      <w:r w:rsidR="00E95C53">
        <w:t>,</w:t>
      </w:r>
      <w:r>
        <w:t xml:space="preserve"> sino que estaba dado por el exagerado período de rezago que estipulaba en la materialización de la actualización (medio año). En contextos de alta inflación como fueron el 2018 y el 2019, la movilidad no blindaba suficientemente a los jubilados y hundía en sus ingresos los efectos del ajuste por esta vía. Recién la balanza sería positiva para los adultos mayores a partir del aumento de marzo y los próximos. Otro problema adicional que disponía la movilidad macrista había sido su etapa inaugural con un período de actualización no reconocido (o parcial e insuficientemente mediante un bono). </w:t>
      </w:r>
    </w:p>
    <w:p w:rsidR="00BF3D9D" w:rsidRDefault="00BF3D9D" w:rsidP="00BF3D9D">
      <w:pPr>
        <w:pStyle w:val="Prrafodelista"/>
        <w:ind w:left="777" w:firstLine="0"/>
      </w:pPr>
    </w:p>
    <w:p w:rsidR="00BF3D9D" w:rsidRDefault="00BF3D9D" w:rsidP="00BF3D9D">
      <w:pPr>
        <w:pStyle w:val="Prrafodelista"/>
        <w:ind w:left="777" w:firstLine="0"/>
      </w:pPr>
      <w:r>
        <w:t xml:space="preserve">Dichas rápidamente las desventajas de la fórmula de la gestión anterior, debe señalarse también que la fórmula aplicada hasta el 2015 que incorporaba la evolución de la recaudación tenía el éxito de reflejar la dinámica inflacionaria en un momento en el que los índices del IPC estaban siendo manipulados. Más aún, una parte del tramo definido operaba como techo para los aumentos de los haberes en virtud de la sustentabilidad fiscal. Es decir, la recaudación como elemento de la movilidad tenía la función de contener el gasto y reflejar la inflación.   </w:t>
      </w:r>
    </w:p>
    <w:p w:rsidR="00BF3D9D" w:rsidRDefault="00BF3D9D" w:rsidP="00BF3D9D"/>
    <w:p w:rsidR="00BF3D9D" w:rsidRDefault="003F3C10" w:rsidP="00BF3D9D">
      <w:pPr>
        <w:pStyle w:val="Prrafodelista"/>
        <w:ind w:left="417" w:firstLine="0"/>
      </w:pPr>
      <w:r>
        <w:t xml:space="preserve">Como parte del anuncio para la población pasiva se incluyó la posibilidad de contar con 170 medicamentos gratis para quienes cobran el haber mínimo. Si bien la medida es auspiciosa conforme al peso que este rubro tiene en la canasta de la tercera edad (así como resulta un quiebre respecto a la situación asfixiante que en este aspecto proponía el macrismo) nuevamente aquí </w:t>
      </w:r>
      <w:r w:rsidR="00244EBF">
        <w:t xml:space="preserve">reaparece </w:t>
      </w:r>
      <w:r>
        <w:t>el riesgo de excluir a población igualmente vulnerable</w:t>
      </w:r>
      <w:r w:rsidR="00244EBF">
        <w:t xml:space="preserve">. Lo mismo vuelve a ocurrir con el reciente anuncio sobre el reintegro del IVA para compras de hasta $700 por mes. Estas medidas intervienen desde el lado de oferta para aliviar la crítica restricción presupuestaria que todavía afrontan la población adulta mayor. </w:t>
      </w:r>
      <w:r>
        <w:t xml:space="preserve">  </w:t>
      </w:r>
    </w:p>
    <w:p w:rsidR="00BF3D9D" w:rsidRDefault="00BF3D9D" w:rsidP="00BF3D9D">
      <w:pPr>
        <w:pStyle w:val="Prrafodelista"/>
        <w:ind w:left="417" w:firstLine="0"/>
      </w:pPr>
    </w:p>
    <w:p w:rsidR="003F3C10" w:rsidRDefault="003F3C10" w:rsidP="003F3C10"/>
    <w:p w:rsidR="003F3C10" w:rsidRDefault="003F3C10" w:rsidP="003F3C10">
      <w:r>
        <w:t>Por otra parte, debe resaltarse también, que el aumento relativamente superior</w:t>
      </w:r>
      <w:r w:rsidR="00316239">
        <w:t xml:space="preserve"> del 13%</w:t>
      </w:r>
      <w:r>
        <w:t xml:space="preserve"> se extendió a las asignaciones familiares y a la AUH </w:t>
      </w:r>
      <w:r w:rsidR="00316239">
        <w:t>lo que involucra</w:t>
      </w:r>
      <w:r>
        <w:t xml:space="preserve"> a cerca de 8 millones de niños, niñas y adolescente</w:t>
      </w:r>
      <w:r w:rsidR="00316239">
        <w:t>. De esta manera el valor de la AUH pasará del $2.746 a $3.102, es decir un aumento del $360, lo que representa $40 más que lo que disponía la fórmula de movilidad suspendida.</w:t>
      </w:r>
    </w:p>
    <w:p w:rsidR="00316239" w:rsidRDefault="00316239" w:rsidP="00316239">
      <w:pPr>
        <w:pStyle w:val="Prrafodelista"/>
        <w:ind w:left="417" w:firstLine="0"/>
      </w:pPr>
    </w:p>
    <w:p w:rsidR="00BF3D9D" w:rsidRDefault="00BF3D9D" w:rsidP="00316239">
      <w:pPr>
        <w:pStyle w:val="Prrafodelista"/>
        <w:ind w:left="0" w:firstLine="0"/>
      </w:pPr>
      <w:r>
        <w:t>Un interrogante</w:t>
      </w:r>
      <w:r w:rsidR="00316239">
        <w:t xml:space="preserve"> </w:t>
      </w:r>
      <w:r w:rsidR="009447A8">
        <w:t>aparecía a raíz de</w:t>
      </w:r>
      <w:r w:rsidR="008271D0">
        <w:t xml:space="preserve"> la suspensión de la movilidad</w:t>
      </w:r>
      <w:r w:rsidR="009447A8">
        <w:t xml:space="preserve"> y no parece quedar resuelto luego del anuncio reciente</w:t>
      </w:r>
      <w:r w:rsidR="008271D0">
        <w:t xml:space="preserve"> y tiene que ver con </w:t>
      </w:r>
      <w:r w:rsidR="00316239">
        <w:t xml:space="preserve"> la actualización de los tramos de ingresos del sistema de asignaciones familiares</w:t>
      </w:r>
      <w:r w:rsidR="008271D0">
        <w:t xml:space="preserve"> del segmento formal de los asalariados. A partir de finales </w:t>
      </w:r>
      <w:r w:rsidR="009768F6">
        <w:t>2015, éstos eran actualizados</w:t>
      </w:r>
      <w:r w:rsidR="008271D0">
        <w:t xml:space="preserve"> de acuerdo a los porcentajes que arrojaba a la fó</w:t>
      </w:r>
      <w:r w:rsidR="009447A8">
        <w:t>r</w:t>
      </w:r>
      <w:r w:rsidR="008271D0">
        <w:t xml:space="preserve">mula lo que permitía sostener los pagos de asignaciones familiares y que éstos no disminuyeran en el marco de las </w:t>
      </w:r>
      <w:r w:rsidR="009447A8">
        <w:t>paritarias y actualizaciones</w:t>
      </w:r>
      <w:r w:rsidR="008271D0">
        <w:t xml:space="preserve"> salariales (recordemos que el esquema de asignaciones es progresivo y determina valores más bajos para los salarios de los tramos más altos). </w:t>
      </w:r>
      <w:r w:rsidR="009447A8">
        <w:t>Si éstos se congelan o se actualizan por debajo, el riesgo es devaluar los pagos de asignaciones familiares del sistema contributivo.</w:t>
      </w:r>
    </w:p>
    <w:p w:rsidR="00BF3D9D" w:rsidRDefault="00BF3D9D" w:rsidP="00BF3D9D"/>
    <w:p w:rsidR="00BF3D9D" w:rsidRDefault="00BF3D9D" w:rsidP="00BF3D9D"/>
    <w:p w:rsidR="00C5415A" w:rsidRDefault="00B8729E" w:rsidP="00BF3D9D">
      <w:r>
        <w:t xml:space="preserve">En conclusión, </w:t>
      </w:r>
      <w:r w:rsidR="00C5415A">
        <w:t xml:space="preserve">es </w:t>
      </w:r>
      <w:r w:rsidR="00B96C91">
        <w:t>auspiciosa la intención del gobierno de f</w:t>
      </w:r>
      <w:r w:rsidR="00C5415A">
        <w:t>avorecer a la población en condición de vulnerabilidad social entre quienes</w:t>
      </w:r>
      <w:r w:rsidR="00B96C91">
        <w:t>,</w:t>
      </w:r>
      <w:r w:rsidR="00C5415A">
        <w:t xml:space="preserve"> sin </w:t>
      </w:r>
      <w:r w:rsidR="00B96C91">
        <w:t>lugar</w:t>
      </w:r>
      <w:r w:rsidR="00C5415A">
        <w:t xml:space="preserve"> a dudas</w:t>
      </w:r>
      <w:r w:rsidR="00B96C91">
        <w:t>,</w:t>
      </w:r>
      <w:r w:rsidR="00C5415A">
        <w:t xml:space="preserve"> se encuentran los jubilados y jubiladas que </w:t>
      </w:r>
      <w:r w:rsidR="00B96C91">
        <w:t>perciben el hab</w:t>
      </w:r>
      <w:r w:rsidR="00C5415A">
        <w:t xml:space="preserve">er </w:t>
      </w:r>
      <w:r w:rsidR="00B96C91">
        <w:t>mínimo</w:t>
      </w:r>
      <w:r w:rsidR="00C5415A">
        <w:t xml:space="preserve">. No obstante, el </w:t>
      </w:r>
      <w:r w:rsidR="00B96C91">
        <w:t>criterio</w:t>
      </w:r>
      <w:r w:rsidR="00C5415A">
        <w:t xml:space="preserve"> de demarcación de la vulnerabilidad se presenta </w:t>
      </w:r>
      <w:r w:rsidR="00B96C91">
        <w:t>restrictivo</w:t>
      </w:r>
      <w:r w:rsidR="00C5415A">
        <w:t xml:space="preserve"> si consideramos que la canasta para un adulto mayor triplica el valor del haber </w:t>
      </w:r>
      <w:r w:rsidR="00B96C91">
        <w:t>mínimo</w:t>
      </w:r>
      <w:r w:rsidR="00C5415A">
        <w:t xml:space="preserve"> y por lo tanto</w:t>
      </w:r>
      <w:r w:rsidR="00B96C91">
        <w:t>, obtiene un trato desventajoso</w:t>
      </w:r>
      <w:r w:rsidR="00C5415A">
        <w:t>.</w:t>
      </w:r>
    </w:p>
    <w:p w:rsidR="00AC6994" w:rsidRDefault="00AC6994" w:rsidP="00BF3D9D"/>
    <w:p w:rsidR="00AC6994" w:rsidRDefault="00AC6994" w:rsidP="00BF3D9D">
      <w:r>
        <w:t>El problema principal es entonces el tope de ingresos  que además no percibe que beneficio y beneficiario no es lo mismo. De esta manera, la lógica del esquema planteado contiene la irracionalidad de pedirle un jubilado que gana entre 16 mil o 40 mil pesos que aporte a la recuperación de la jubilación mínima cuando en la sociedad argentina existen otros actores con capacidad de aportar por vía impositiva para financia</w:t>
      </w:r>
      <w:r w:rsidR="003D07CC">
        <w:t>r</w:t>
      </w:r>
      <w:r>
        <w:t xml:space="preserve"> con mayor equidad la </w:t>
      </w:r>
      <w:r w:rsidR="003D07CC">
        <w:t>recomposición</w:t>
      </w:r>
      <w:r>
        <w:t xml:space="preserve"> del piso jubilatorio.</w:t>
      </w:r>
    </w:p>
    <w:p w:rsidR="00C5415A" w:rsidRDefault="00C5415A" w:rsidP="00BF3D9D"/>
    <w:p w:rsidR="00B10A6F" w:rsidRDefault="00B96C91" w:rsidP="001474A4">
      <w:r>
        <w:t>Asimismo, l</w:t>
      </w:r>
      <w:r w:rsidR="00C5415A">
        <w:t xml:space="preserve">a </w:t>
      </w:r>
      <w:r>
        <w:t>generación</w:t>
      </w:r>
      <w:r w:rsidR="00C5415A">
        <w:t xml:space="preserve"> de un ahorro fiscal ocasionado por la suspensión de la fórmula</w:t>
      </w:r>
      <w:r w:rsidR="007A1887">
        <w:t xml:space="preserve"> que debía actualizar ingresos previsional</w:t>
      </w:r>
      <w:r w:rsidR="003D07CC">
        <w:t>es</w:t>
      </w:r>
      <w:r w:rsidR="007A1887">
        <w:t xml:space="preserve"> perdidos durante los meses previos,</w:t>
      </w:r>
      <w:r w:rsidR="00C5415A">
        <w:t xml:space="preserve"> en un contexto de emergencia social sólo se justifica por la estrategia del gobierno de </w:t>
      </w:r>
      <w:r w:rsidR="007A1887">
        <w:t xml:space="preserve">contener el gasto social. Si bien ha detenido la marcha de ajuste </w:t>
      </w:r>
      <w:r w:rsidR="001474A4">
        <w:t xml:space="preserve">propia de la </w:t>
      </w:r>
      <w:r w:rsidR="007A1887">
        <w:t>gestión de Cambiemos,</w:t>
      </w:r>
      <w:r w:rsidR="001474A4">
        <w:t xml:space="preserve"> la actual gestión</w:t>
      </w:r>
      <w:r w:rsidR="007A1887">
        <w:t xml:space="preserve"> </w:t>
      </w:r>
      <w:r w:rsidR="001474A4">
        <w:t>asume un comportamiento de exagerada prudencia y control de las cuentas públicas en</w:t>
      </w:r>
      <w:r w:rsidR="00DE58DB">
        <w:t xml:space="preserve"> consonancia con la exigencia que impone el pago de intereses de la deuda pública.</w:t>
      </w:r>
    </w:p>
    <w:p w:rsidR="00B10A6F" w:rsidRDefault="00B10A6F" w:rsidP="00BF3D9D"/>
    <w:p w:rsidR="00B811C5" w:rsidRDefault="00B811C5" w:rsidP="00BF3D9D">
      <w:pPr>
        <w:pStyle w:val="Prrafodelista"/>
        <w:ind w:left="417" w:firstLine="0"/>
      </w:pPr>
    </w:p>
    <w:sectPr w:rsidR="00B811C5" w:rsidSect="00B811C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27" w:rsidRDefault="006E5727" w:rsidP="003C7135">
      <w:r>
        <w:separator/>
      </w:r>
    </w:p>
  </w:endnote>
  <w:endnote w:type="continuationSeparator" w:id="0">
    <w:p w:rsidR="006E5727" w:rsidRDefault="006E5727" w:rsidP="003C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00"/>
    <w:family w:val="auto"/>
    <w:pitch w:val="variable"/>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204"/>
      <w:docPartObj>
        <w:docPartGallery w:val="Page Numbers (Bottom of Page)"/>
        <w:docPartUnique/>
      </w:docPartObj>
    </w:sdtPr>
    <w:sdtEndPr/>
    <w:sdtContent>
      <w:p w:rsidR="003C7135" w:rsidRDefault="006E5727">
        <w:pPr>
          <w:pStyle w:val="Piedepgina"/>
          <w:jc w:val="right"/>
        </w:pPr>
        <w:r>
          <w:fldChar w:fldCharType="begin"/>
        </w:r>
        <w:r>
          <w:instrText xml:space="preserve"> PAGE   \* MERGEFORMAT </w:instrText>
        </w:r>
        <w:r>
          <w:fldChar w:fldCharType="separate"/>
        </w:r>
        <w:r w:rsidR="000C1B35">
          <w:rPr>
            <w:noProof/>
          </w:rPr>
          <w:t>1</w:t>
        </w:r>
        <w:r>
          <w:rPr>
            <w:noProof/>
          </w:rPr>
          <w:fldChar w:fldCharType="end"/>
        </w:r>
      </w:p>
    </w:sdtContent>
  </w:sdt>
  <w:p w:rsidR="003C7135" w:rsidRDefault="003C7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27" w:rsidRDefault="006E5727" w:rsidP="003C7135">
      <w:r>
        <w:separator/>
      </w:r>
    </w:p>
  </w:footnote>
  <w:footnote w:type="continuationSeparator" w:id="0">
    <w:p w:rsidR="006E5727" w:rsidRDefault="006E5727" w:rsidP="003C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85F6A"/>
    <w:multiLevelType w:val="hybridMultilevel"/>
    <w:tmpl w:val="BE2409E2"/>
    <w:lvl w:ilvl="0" w:tplc="FCB42D3C">
      <w:numFmt w:val="bullet"/>
      <w:lvlText w:val="-"/>
      <w:lvlJc w:val="left"/>
      <w:pPr>
        <w:ind w:left="417" w:hanging="360"/>
      </w:pPr>
      <w:rPr>
        <w:rFonts w:ascii="Calibri" w:eastAsiaTheme="minorHAnsi" w:hAnsi="Calibri" w:cs="Calibri" w:hint="default"/>
      </w:rPr>
    </w:lvl>
    <w:lvl w:ilvl="1" w:tplc="040A0003" w:tentative="1">
      <w:start w:val="1"/>
      <w:numFmt w:val="bullet"/>
      <w:lvlText w:val="o"/>
      <w:lvlJc w:val="left"/>
      <w:pPr>
        <w:ind w:left="1137" w:hanging="360"/>
      </w:pPr>
      <w:rPr>
        <w:rFonts w:ascii="Courier New" w:hAnsi="Courier New" w:cs="Courier New" w:hint="default"/>
      </w:rPr>
    </w:lvl>
    <w:lvl w:ilvl="2" w:tplc="040A0005" w:tentative="1">
      <w:start w:val="1"/>
      <w:numFmt w:val="bullet"/>
      <w:lvlText w:val=""/>
      <w:lvlJc w:val="left"/>
      <w:pPr>
        <w:ind w:left="1857" w:hanging="360"/>
      </w:pPr>
      <w:rPr>
        <w:rFonts w:ascii="Wingdings" w:hAnsi="Wingdings" w:hint="default"/>
      </w:rPr>
    </w:lvl>
    <w:lvl w:ilvl="3" w:tplc="040A0001" w:tentative="1">
      <w:start w:val="1"/>
      <w:numFmt w:val="bullet"/>
      <w:lvlText w:val=""/>
      <w:lvlJc w:val="left"/>
      <w:pPr>
        <w:ind w:left="2577" w:hanging="360"/>
      </w:pPr>
      <w:rPr>
        <w:rFonts w:ascii="Symbol" w:hAnsi="Symbol" w:hint="default"/>
      </w:rPr>
    </w:lvl>
    <w:lvl w:ilvl="4" w:tplc="040A0003" w:tentative="1">
      <w:start w:val="1"/>
      <w:numFmt w:val="bullet"/>
      <w:lvlText w:val="o"/>
      <w:lvlJc w:val="left"/>
      <w:pPr>
        <w:ind w:left="3297" w:hanging="360"/>
      </w:pPr>
      <w:rPr>
        <w:rFonts w:ascii="Courier New" w:hAnsi="Courier New" w:cs="Courier New" w:hint="default"/>
      </w:rPr>
    </w:lvl>
    <w:lvl w:ilvl="5" w:tplc="040A0005" w:tentative="1">
      <w:start w:val="1"/>
      <w:numFmt w:val="bullet"/>
      <w:lvlText w:val=""/>
      <w:lvlJc w:val="left"/>
      <w:pPr>
        <w:ind w:left="4017" w:hanging="360"/>
      </w:pPr>
      <w:rPr>
        <w:rFonts w:ascii="Wingdings" w:hAnsi="Wingdings" w:hint="default"/>
      </w:rPr>
    </w:lvl>
    <w:lvl w:ilvl="6" w:tplc="040A0001" w:tentative="1">
      <w:start w:val="1"/>
      <w:numFmt w:val="bullet"/>
      <w:lvlText w:val=""/>
      <w:lvlJc w:val="left"/>
      <w:pPr>
        <w:ind w:left="4737" w:hanging="360"/>
      </w:pPr>
      <w:rPr>
        <w:rFonts w:ascii="Symbol" w:hAnsi="Symbol" w:hint="default"/>
      </w:rPr>
    </w:lvl>
    <w:lvl w:ilvl="7" w:tplc="040A0003" w:tentative="1">
      <w:start w:val="1"/>
      <w:numFmt w:val="bullet"/>
      <w:lvlText w:val="o"/>
      <w:lvlJc w:val="left"/>
      <w:pPr>
        <w:ind w:left="5457" w:hanging="360"/>
      </w:pPr>
      <w:rPr>
        <w:rFonts w:ascii="Courier New" w:hAnsi="Courier New" w:cs="Courier New" w:hint="default"/>
      </w:rPr>
    </w:lvl>
    <w:lvl w:ilvl="8" w:tplc="040A0005" w:tentative="1">
      <w:start w:val="1"/>
      <w:numFmt w:val="bullet"/>
      <w:lvlText w:val=""/>
      <w:lvlJc w:val="left"/>
      <w:pPr>
        <w:ind w:left="6177" w:hanging="360"/>
      </w:pPr>
      <w:rPr>
        <w:rFonts w:ascii="Wingdings" w:hAnsi="Wingdings" w:hint="default"/>
      </w:rPr>
    </w:lvl>
  </w:abstractNum>
  <w:abstractNum w:abstractNumId="1">
    <w:nsid w:val="75E233C3"/>
    <w:multiLevelType w:val="hybridMultilevel"/>
    <w:tmpl w:val="F15E3680"/>
    <w:lvl w:ilvl="0" w:tplc="2752E1EE">
      <w:start w:val="1"/>
      <w:numFmt w:val="decimal"/>
      <w:lvlText w:val="%1)"/>
      <w:lvlJc w:val="left"/>
      <w:pPr>
        <w:ind w:left="777" w:hanging="360"/>
      </w:pPr>
      <w:rPr>
        <w:rFonts w:hint="default"/>
      </w:rPr>
    </w:lvl>
    <w:lvl w:ilvl="1" w:tplc="040A0019" w:tentative="1">
      <w:start w:val="1"/>
      <w:numFmt w:val="lowerLetter"/>
      <w:lvlText w:val="%2."/>
      <w:lvlJc w:val="left"/>
      <w:pPr>
        <w:ind w:left="1497" w:hanging="360"/>
      </w:pPr>
    </w:lvl>
    <w:lvl w:ilvl="2" w:tplc="040A001B" w:tentative="1">
      <w:start w:val="1"/>
      <w:numFmt w:val="lowerRoman"/>
      <w:lvlText w:val="%3."/>
      <w:lvlJc w:val="right"/>
      <w:pPr>
        <w:ind w:left="2217" w:hanging="180"/>
      </w:pPr>
    </w:lvl>
    <w:lvl w:ilvl="3" w:tplc="040A000F" w:tentative="1">
      <w:start w:val="1"/>
      <w:numFmt w:val="decimal"/>
      <w:lvlText w:val="%4."/>
      <w:lvlJc w:val="left"/>
      <w:pPr>
        <w:ind w:left="2937" w:hanging="360"/>
      </w:pPr>
    </w:lvl>
    <w:lvl w:ilvl="4" w:tplc="040A0019" w:tentative="1">
      <w:start w:val="1"/>
      <w:numFmt w:val="lowerLetter"/>
      <w:lvlText w:val="%5."/>
      <w:lvlJc w:val="left"/>
      <w:pPr>
        <w:ind w:left="3657" w:hanging="360"/>
      </w:pPr>
    </w:lvl>
    <w:lvl w:ilvl="5" w:tplc="040A001B" w:tentative="1">
      <w:start w:val="1"/>
      <w:numFmt w:val="lowerRoman"/>
      <w:lvlText w:val="%6."/>
      <w:lvlJc w:val="right"/>
      <w:pPr>
        <w:ind w:left="4377" w:hanging="180"/>
      </w:pPr>
    </w:lvl>
    <w:lvl w:ilvl="6" w:tplc="040A000F" w:tentative="1">
      <w:start w:val="1"/>
      <w:numFmt w:val="decimal"/>
      <w:lvlText w:val="%7."/>
      <w:lvlJc w:val="left"/>
      <w:pPr>
        <w:ind w:left="5097" w:hanging="360"/>
      </w:pPr>
    </w:lvl>
    <w:lvl w:ilvl="7" w:tplc="040A0019" w:tentative="1">
      <w:start w:val="1"/>
      <w:numFmt w:val="lowerLetter"/>
      <w:lvlText w:val="%8."/>
      <w:lvlJc w:val="left"/>
      <w:pPr>
        <w:ind w:left="5817" w:hanging="360"/>
      </w:pPr>
    </w:lvl>
    <w:lvl w:ilvl="8" w:tplc="040A001B" w:tentative="1">
      <w:start w:val="1"/>
      <w:numFmt w:val="lowerRoman"/>
      <w:lvlText w:val="%9."/>
      <w:lvlJc w:val="right"/>
      <w:pPr>
        <w:ind w:left="65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84"/>
    <w:rsid w:val="00005D53"/>
    <w:rsid w:val="00025B30"/>
    <w:rsid w:val="000264AC"/>
    <w:rsid w:val="000344C9"/>
    <w:rsid w:val="00052F79"/>
    <w:rsid w:val="00057CA6"/>
    <w:rsid w:val="000664E5"/>
    <w:rsid w:val="000674B1"/>
    <w:rsid w:val="000733A5"/>
    <w:rsid w:val="000841AD"/>
    <w:rsid w:val="00084A34"/>
    <w:rsid w:val="000907F4"/>
    <w:rsid w:val="000A7275"/>
    <w:rsid w:val="000C089B"/>
    <w:rsid w:val="000C1B35"/>
    <w:rsid w:val="000D5C27"/>
    <w:rsid w:val="00114E9A"/>
    <w:rsid w:val="001474A4"/>
    <w:rsid w:val="001B2240"/>
    <w:rsid w:val="001C45E8"/>
    <w:rsid w:val="001E07C5"/>
    <w:rsid w:val="0022008F"/>
    <w:rsid w:val="00224C33"/>
    <w:rsid w:val="00237ED6"/>
    <w:rsid w:val="00244EBF"/>
    <w:rsid w:val="00253322"/>
    <w:rsid w:val="00270E25"/>
    <w:rsid w:val="002728BE"/>
    <w:rsid w:val="00282F84"/>
    <w:rsid w:val="00286C9D"/>
    <w:rsid w:val="002A13B9"/>
    <w:rsid w:val="002B1BA0"/>
    <w:rsid w:val="00305D2B"/>
    <w:rsid w:val="003141F8"/>
    <w:rsid w:val="00316239"/>
    <w:rsid w:val="003217F9"/>
    <w:rsid w:val="00336576"/>
    <w:rsid w:val="00341CE8"/>
    <w:rsid w:val="003444D7"/>
    <w:rsid w:val="003710AC"/>
    <w:rsid w:val="003C041E"/>
    <w:rsid w:val="003C7135"/>
    <w:rsid w:val="003D07CC"/>
    <w:rsid w:val="003D11F9"/>
    <w:rsid w:val="003F3C10"/>
    <w:rsid w:val="003F77AF"/>
    <w:rsid w:val="00401151"/>
    <w:rsid w:val="00404D49"/>
    <w:rsid w:val="00414ADC"/>
    <w:rsid w:val="0043405F"/>
    <w:rsid w:val="00434C7A"/>
    <w:rsid w:val="00470F37"/>
    <w:rsid w:val="00497B99"/>
    <w:rsid w:val="004A5FE5"/>
    <w:rsid w:val="004B4EA7"/>
    <w:rsid w:val="004C3594"/>
    <w:rsid w:val="004D4F16"/>
    <w:rsid w:val="004E25EF"/>
    <w:rsid w:val="004F3327"/>
    <w:rsid w:val="004F6148"/>
    <w:rsid w:val="005130E1"/>
    <w:rsid w:val="00513A84"/>
    <w:rsid w:val="00525C57"/>
    <w:rsid w:val="005379D0"/>
    <w:rsid w:val="00544239"/>
    <w:rsid w:val="00566963"/>
    <w:rsid w:val="00570595"/>
    <w:rsid w:val="005B6428"/>
    <w:rsid w:val="005E52EA"/>
    <w:rsid w:val="005F19B6"/>
    <w:rsid w:val="005F2536"/>
    <w:rsid w:val="005F2685"/>
    <w:rsid w:val="00604D1B"/>
    <w:rsid w:val="006238E0"/>
    <w:rsid w:val="006363E3"/>
    <w:rsid w:val="0065197E"/>
    <w:rsid w:val="00672AD4"/>
    <w:rsid w:val="006773F8"/>
    <w:rsid w:val="006B4197"/>
    <w:rsid w:val="006C5D0A"/>
    <w:rsid w:val="006D4630"/>
    <w:rsid w:val="006E30B7"/>
    <w:rsid w:val="006E5727"/>
    <w:rsid w:val="006E6632"/>
    <w:rsid w:val="006F5E20"/>
    <w:rsid w:val="00715196"/>
    <w:rsid w:val="00735BB9"/>
    <w:rsid w:val="00755479"/>
    <w:rsid w:val="00765C8D"/>
    <w:rsid w:val="007919F4"/>
    <w:rsid w:val="007A1887"/>
    <w:rsid w:val="007E55B6"/>
    <w:rsid w:val="00821561"/>
    <w:rsid w:val="008271D0"/>
    <w:rsid w:val="00844BAF"/>
    <w:rsid w:val="008674E6"/>
    <w:rsid w:val="00876168"/>
    <w:rsid w:val="008A20C2"/>
    <w:rsid w:val="008A4710"/>
    <w:rsid w:val="008C2682"/>
    <w:rsid w:val="008C7076"/>
    <w:rsid w:val="008E646C"/>
    <w:rsid w:val="008E7EBE"/>
    <w:rsid w:val="00913DE4"/>
    <w:rsid w:val="00931076"/>
    <w:rsid w:val="0093346A"/>
    <w:rsid w:val="009447A8"/>
    <w:rsid w:val="00945C8E"/>
    <w:rsid w:val="009652D3"/>
    <w:rsid w:val="00975A7A"/>
    <w:rsid w:val="009768F6"/>
    <w:rsid w:val="009B0327"/>
    <w:rsid w:val="009B6616"/>
    <w:rsid w:val="009C4CE0"/>
    <w:rsid w:val="009C7BFF"/>
    <w:rsid w:val="009D4945"/>
    <w:rsid w:val="00A12D7A"/>
    <w:rsid w:val="00A20411"/>
    <w:rsid w:val="00A21A1A"/>
    <w:rsid w:val="00A43DA6"/>
    <w:rsid w:val="00A546E2"/>
    <w:rsid w:val="00A957A0"/>
    <w:rsid w:val="00AC6994"/>
    <w:rsid w:val="00AD3906"/>
    <w:rsid w:val="00B0531C"/>
    <w:rsid w:val="00B07EF6"/>
    <w:rsid w:val="00B10A6F"/>
    <w:rsid w:val="00B14874"/>
    <w:rsid w:val="00B36A84"/>
    <w:rsid w:val="00B51F70"/>
    <w:rsid w:val="00B811C5"/>
    <w:rsid w:val="00B8729E"/>
    <w:rsid w:val="00B94D37"/>
    <w:rsid w:val="00B96C91"/>
    <w:rsid w:val="00BD255C"/>
    <w:rsid w:val="00BF1A0D"/>
    <w:rsid w:val="00BF3D9D"/>
    <w:rsid w:val="00C158E9"/>
    <w:rsid w:val="00C2495D"/>
    <w:rsid w:val="00C350CC"/>
    <w:rsid w:val="00C458BE"/>
    <w:rsid w:val="00C5415A"/>
    <w:rsid w:val="00C603F5"/>
    <w:rsid w:val="00C8607A"/>
    <w:rsid w:val="00D17B46"/>
    <w:rsid w:val="00D17D04"/>
    <w:rsid w:val="00D40F27"/>
    <w:rsid w:val="00D41D27"/>
    <w:rsid w:val="00D566F9"/>
    <w:rsid w:val="00D65F17"/>
    <w:rsid w:val="00D841F1"/>
    <w:rsid w:val="00D90CA5"/>
    <w:rsid w:val="00D94792"/>
    <w:rsid w:val="00DC507A"/>
    <w:rsid w:val="00DD0892"/>
    <w:rsid w:val="00DD1A92"/>
    <w:rsid w:val="00DE58DB"/>
    <w:rsid w:val="00E10017"/>
    <w:rsid w:val="00E25596"/>
    <w:rsid w:val="00E702F4"/>
    <w:rsid w:val="00E80769"/>
    <w:rsid w:val="00E95C53"/>
    <w:rsid w:val="00EA2EFF"/>
    <w:rsid w:val="00EC1D95"/>
    <w:rsid w:val="00EF2098"/>
    <w:rsid w:val="00F152EE"/>
    <w:rsid w:val="00F21FD5"/>
    <w:rsid w:val="00F27D29"/>
    <w:rsid w:val="00F3276B"/>
    <w:rsid w:val="00F56419"/>
    <w:rsid w:val="00F7351D"/>
    <w:rsid w:val="00F818E8"/>
    <w:rsid w:val="00F83EF3"/>
    <w:rsid w:val="00F97B2E"/>
    <w:rsid w:val="00FD15DC"/>
    <w:rsid w:val="00FD42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ind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D53"/>
    <w:pPr>
      <w:ind w:left="720"/>
      <w:contextualSpacing/>
    </w:pPr>
  </w:style>
  <w:style w:type="paragraph" w:styleId="Textodeglobo">
    <w:name w:val="Balloon Text"/>
    <w:basedOn w:val="Normal"/>
    <w:link w:val="TextodegloboCar"/>
    <w:uiPriority w:val="99"/>
    <w:semiHidden/>
    <w:unhideWhenUsed/>
    <w:rsid w:val="00286C9D"/>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9D"/>
    <w:rPr>
      <w:rFonts w:ascii="Tahoma" w:hAnsi="Tahoma" w:cs="Tahoma"/>
      <w:sz w:val="16"/>
      <w:szCs w:val="16"/>
    </w:rPr>
  </w:style>
  <w:style w:type="paragraph" w:styleId="Textoindependiente">
    <w:name w:val="Body Text"/>
    <w:basedOn w:val="Normal"/>
    <w:link w:val="TextoindependienteCar"/>
    <w:rsid w:val="00224C33"/>
    <w:pPr>
      <w:suppressAutoHyphens/>
      <w:spacing w:after="120"/>
      <w:ind w:firstLine="0"/>
      <w:jc w:val="left"/>
    </w:pPr>
    <w:rPr>
      <w:rFonts w:ascii="Calibri" w:eastAsia="SimSun" w:hAnsi="Calibri" w:cs="font194"/>
      <w:lang w:val="es-AR" w:eastAsia="ar-SA"/>
    </w:rPr>
  </w:style>
  <w:style w:type="character" w:customStyle="1" w:styleId="TextoindependienteCar">
    <w:name w:val="Texto independiente Car"/>
    <w:basedOn w:val="Fuentedeprrafopredeter"/>
    <w:link w:val="Textoindependiente"/>
    <w:rsid w:val="00224C33"/>
    <w:rPr>
      <w:rFonts w:ascii="Calibri" w:eastAsia="SimSun" w:hAnsi="Calibri" w:cs="font194"/>
      <w:lang w:val="es-AR" w:eastAsia="ar-SA"/>
    </w:rPr>
  </w:style>
  <w:style w:type="paragraph" w:customStyle="1" w:styleId="Cuerpo">
    <w:name w:val="Cuerpo"/>
    <w:rsid w:val="00224C33"/>
    <w:pPr>
      <w:pBdr>
        <w:top w:val="nil"/>
        <w:left w:val="nil"/>
        <w:bottom w:val="nil"/>
        <w:right w:val="nil"/>
        <w:between w:val="nil"/>
        <w:bar w:val="nil"/>
      </w:pBdr>
      <w:ind w:firstLine="0"/>
      <w:jc w:val="left"/>
    </w:pPr>
    <w:rPr>
      <w:rFonts w:ascii="Helvetica Neue" w:eastAsia="Arial Unicode MS" w:hAnsi="Helvetica Neue" w:cs="Arial Unicode MS"/>
      <w:color w:val="000000"/>
      <w:bdr w:val="nil"/>
      <w:lang w:eastAsia="es-ES_tradnl"/>
    </w:rPr>
  </w:style>
  <w:style w:type="paragraph" w:customStyle="1" w:styleId="Ttulo11">
    <w:name w:val="Título 11"/>
    <w:basedOn w:val="Normal"/>
    <w:uiPriority w:val="1"/>
    <w:qFormat/>
    <w:rsid w:val="00224C33"/>
    <w:pPr>
      <w:widowControl w:val="0"/>
      <w:autoSpaceDE w:val="0"/>
      <w:autoSpaceDN w:val="0"/>
      <w:ind w:left="170" w:right="162" w:firstLine="0"/>
      <w:jc w:val="center"/>
      <w:outlineLvl w:val="1"/>
    </w:pPr>
    <w:rPr>
      <w:rFonts w:ascii="Times New Roman" w:eastAsia="Times New Roman" w:hAnsi="Times New Roman" w:cs="Times New Roman"/>
      <w:b/>
      <w:bCs/>
      <w:sz w:val="28"/>
      <w:szCs w:val="28"/>
      <w:lang w:val="es-ES" w:eastAsia="es-ES" w:bidi="es-ES"/>
    </w:rPr>
  </w:style>
  <w:style w:type="paragraph" w:styleId="Encabezado">
    <w:name w:val="header"/>
    <w:basedOn w:val="Normal"/>
    <w:link w:val="EncabezadoCar"/>
    <w:uiPriority w:val="99"/>
    <w:semiHidden/>
    <w:unhideWhenUsed/>
    <w:rsid w:val="003C7135"/>
    <w:pPr>
      <w:tabs>
        <w:tab w:val="center" w:pos="4252"/>
        <w:tab w:val="right" w:pos="8504"/>
      </w:tabs>
    </w:pPr>
  </w:style>
  <w:style w:type="character" w:customStyle="1" w:styleId="EncabezadoCar">
    <w:name w:val="Encabezado Car"/>
    <w:basedOn w:val="Fuentedeprrafopredeter"/>
    <w:link w:val="Encabezado"/>
    <w:uiPriority w:val="99"/>
    <w:semiHidden/>
    <w:rsid w:val="003C7135"/>
  </w:style>
  <w:style w:type="paragraph" w:styleId="Piedepgina">
    <w:name w:val="footer"/>
    <w:basedOn w:val="Normal"/>
    <w:link w:val="PiedepginaCar"/>
    <w:uiPriority w:val="99"/>
    <w:unhideWhenUsed/>
    <w:rsid w:val="003C7135"/>
    <w:pPr>
      <w:tabs>
        <w:tab w:val="center" w:pos="4252"/>
        <w:tab w:val="right" w:pos="8504"/>
      </w:tabs>
    </w:pPr>
  </w:style>
  <w:style w:type="character" w:customStyle="1" w:styleId="PiedepginaCar">
    <w:name w:val="Pie de página Car"/>
    <w:basedOn w:val="Fuentedeprrafopredeter"/>
    <w:link w:val="Piedepgina"/>
    <w:uiPriority w:val="99"/>
    <w:rsid w:val="003C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ind w:firstLine="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D53"/>
    <w:pPr>
      <w:ind w:left="720"/>
      <w:contextualSpacing/>
    </w:pPr>
  </w:style>
  <w:style w:type="paragraph" w:styleId="Textodeglobo">
    <w:name w:val="Balloon Text"/>
    <w:basedOn w:val="Normal"/>
    <w:link w:val="TextodegloboCar"/>
    <w:uiPriority w:val="99"/>
    <w:semiHidden/>
    <w:unhideWhenUsed/>
    <w:rsid w:val="00286C9D"/>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9D"/>
    <w:rPr>
      <w:rFonts w:ascii="Tahoma" w:hAnsi="Tahoma" w:cs="Tahoma"/>
      <w:sz w:val="16"/>
      <w:szCs w:val="16"/>
    </w:rPr>
  </w:style>
  <w:style w:type="paragraph" w:styleId="Textoindependiente">
    <w:name w:val="Body Text"/>
    <w:basedOn w:val="Normal"/>
    <w:link w:val="TextoindependienteCar"/>
    <w:rsid w:val="00224C33"/>
    <w:pPr>
      <w:suppressAutoHyphens/>
      <w:spacing w:after="120"/>
      <w:ind w:firstLine="0"/>
      <w:jc w:val="left"/>
    </w:pPr>
    <w:rPr>
      <w:rFonts w:ascii="Calibri" w:eastAsia="SimSun" w:hAnsi="Calibri" w:cs="font194"/>
      <w:lang w:val="es-AR" w:eastAsia="ar-SA"/>
    </w:rPr>
  </w:style>
  <w:style w:type="character" w:customStyle="1" w:styleId="TextoindependienteCar">
    <w:name w:val="Texto independiente Car"/>
    <w:basedOn w:val="Fuentedeprrafopredeter"/>
    <w:link w:val="Textoindependiente"/>
    <w:rsid w:val="00224C33"/>
    <w:rPr>
      <w:rFonts w:ascii="Calibri" w:eastAsia="SimSun" w:hAnsi="Calibri" w:cs="font194"/>
      <w:lang w:val="es-AR" w:eastAsia="ar-SA"/>
    </w:rPr>
  </w:style>
  <w:style w:type="paragraph" w:customStyle="1" w:styleId="Cuerpo">
    <w:name w:val="Cuerpo"/>
    <w:rsid w:val="00224C33"/>
    <w:pPr>
      <w:pBdr>
        <w:top w:val="nil"/>
        <w:left w:val="nil"/>
        <w:bottom w:val="nil"/>
        <w:right w:val="nil"/>
        <w:between w:val="nil"/>
        <w:bar w:val="nil"/>
      </w:pBdr>
      <w:ind w:firstLine="0"/>
      <w:jc w:val="left"/>
    </w:pPr>
    <w:rPr>
      <w:rFonts w:ascii="Helvetica Neue" w:eastAsia="Arial Unicode MS" w:hAnsi="Helvetica Neue" w:cs="Arial Unicode MS"/>
      <w:color w:val="000000"/>
      <w:bdr w:val="nil"/>
      <w:lang w:eastAsia="es-ES_tradnl"/>
    </w:rPr>
  </w:style>
  <w:style w:type="paragraph" w:customStyle="1" w:styleId="Ttulo11">
    <w:name w:val="Título 11"/>
    <w:basedOn w:val="Normal"/>
    <w:uiPriority w:val="1"/>
    <w:qFormat/>
    <w:rsid w:val="00224C33"/>
    <w:pPr>
      <w:widowControl w:val="0"/>
      <w:autoSpaceDE w:val="0"/>
      <w:autoSpaceDN w:val="0"/>
      <w:ind w:left="170" w:right="162" w:firstLine="0"/>
      <w:jc w:val="center"/>
      <w:outlineLvl w:val="1"/>
    </w:pPr>
    <w:rPr>
      <w:rFonts w:ascii="Times New Roman" w:eastAsia="Times New Roman" w:hAnsi="Times New Roman" w:cs="Times New Roman"/>
      <w:b/>
      <w:bCs/>
      <w:sz w:val="28"/>
      <w:szCs w:val="28"/>
      <w:lang w:val="es-ES" w:eastAsia="es-ES" w:bidi="es-ES"/>
    </w:rPr>
  </w:style>
  <w:style w:type="paragraph" w:styleId="Encabezado">
    <w:name w:val="header"/>
    <w:basedOn w:val="Normal"/>
    <w:link w:val="EncabezadoCar"/>
    <w:uiPriority w:val="99"/>
    <w:semiHidden/>
    <w:unhideWhenUsed/>
    <w:rsid w:val="003C7135"/>
    <w:pPr>
      <w:tabs>
        <w:tab w:val="center" w:pos="4252"/>
        <w:tab w:val="right" w:pos="8504"/>
      </w:tabs>
    </w:pPr>
  </w:style>
  <w:style w:type="character" w:customStyle="1" w:styleId="EncabezadoCar">
    <w:name w:val="Encabezado Car"/>
    <w:basedOn w:val="Fuentedeprrafopredeter"/>
    <w:link w:val="Encabezado"/>
    <w:uiPriority w:val="99"/>
    <w:semiHidden/>
    <w:rsid w:val="003C7135"/>
  </w:style>
  <w:style w:type="paragraph" w:styleId="Piedepgina">
    <w:name w:val="footer"/>
    <w:basedOn w:val="Normal"/>
    <w:link w:val="PiedepginaCar"/>
    <w:uiPriority w:val="99"/>
    <w:unhideWhenUsed/>
    <w:rsid w:val="003C7135"/>
    <w:pPr>
      <w:tabs>
        <w:tab w:val="center" w:pos="4252"/>
        <w:tab w:val="right" w:pos="8504"/>
      </w:tabs>
    </w:pPr>
  </w:style>
  <w:style w:type="character" w:customStyle="1" w:styleId="PiedepginaCar">
    <w:name w:val="Pie de página Car"/>
    <w:basedOn w:val="Fuentedeprrafopredeter"/>
    <w:link w:val="Piedepgina"/>
    <w:uiPriority w:val="99"/>
    <w:rsid w:val="003C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0076">
      <w:bodyDiv w:val="1"/>
      <w:marLeft w:val="0"/>
      <w:marRight w:val="0"/>
      <w:marTop w:val="0"/>
      <w:marBottom w:val="0"/>
      <w:divBdr>
        <w:top w:val="none" w:sz="0" w:space="0" w:color="auto"/>
        <w:left w:val="none" w:sz="0" w:space="0" w:color="auto"/>
        <w:bottom w:val="none" w:sz="0" w:space="0" w:color="auto"/>
        <w:right w:val="none" w:sz="0" w:space="0" w:color="auto"/>
      </w:divBdr>
    </w:div>
    <w:div w:id="1193029417">
      <w:bodyDiv w:val="1"/>
      <w:marLeft w:val="0"/>
      <w:marRight w:val="0"/>
      <w:marTop w:val="0"/>
      <w:marBottom w:val="0"/>
      <w:divBdr>
        <w:top w:val="none" w:sz="0" w:space="0" w:color="auto"/>
        <w:left w:val="none" w:sz="0" w:space="0" w:color="auto"/>
        <w:bottom w:val="none" w:sz="0" w:space="0" w:color="auto"/>
        <w:right w:val="none" w:sz="0" w:space="0" w:color="auto"/>
      </w:divBdr>
    </w:div>
    <w:div w:id="20379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2726</Words>
  <Characters>14995</Characters>
  <Application>Microsoft Office Word</Application>
  <DocSecurity>0</DocSecurity>
  <Lines>124</Lines>
  <Paragraphs>35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A cargo de: Ana Rameri</vt:lpstr>
      <vt:lpstr>    </vt:lpstr>
      <vt:lpstr>    </vt:lpstr>
      <vt:lpstr>    Febrero 2020</vt:lpstr>
    </vt:vector>
  </TitlesOfParts>
  <Company>Windows uE</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Luffi</cp:lastModifiedBy>
  <cp:revision>2</cp:revision>
  <dcterms:created xsi:type="dcterms:W3CDTF">2020-02-20T11:40:00Z</dcterms:created>
  <dcterms:modified xsi:type="dcterms:W3CDTF">2020-02-20T11:40:00Z</dcterms:modified>
</cp:coreProperties>
</file>